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新魏" w:eastAsia="华文新魏"/>
          <w:b/>
          <w:color w:val="FF0000"/>
          <w:sz w:val="44"/>
          <w:szCs w:val="44"/>
        </w:rPr>
      </w:pPr>
    </w:p>
    <w:p>
      <w:pPr>
        <w:spacing w:after="0" w:line="360" w:lineRule="auto"/>
        <w:jc w:val="center"/>
        <w:rPr>
          <w:rFonts w:ascii="华文新魏" w:eastAsia="华文新魏"/>
          <w:b/>
          <w:color w:val="000000" w:themeColor="text1"/>
          <w:sz w:val="44"/>
          <w:szCs w:val="44"/>
        </w:rPr>
      </w:pPr>
      <w:r>
        <w:rPr>
          <w:rFonts w:hint="eastAsia" w:ascii="华文新魏" w:eastAsia="华文新魏"/>
          <w:b/>
          <w:color w:val="000000" w:themeColor="text1"/>
          <w:sz w:val="44"/>
          <w:szCs w:val="44"/>
        </w:rPr>
        <w:t>山东潍焦集团薛城能源有限公司</w:t>
      </w:r>
    </w:p>
    <w:p>
      <w:pPr>
        <w:spacing w:after="0" w:line="360" w:lineRule="auto"/>
        <w:jc w:val="center"/>
        <w:rPr>
          <w:rFonts w:hint="eastAsia" w:ascii="华文新魏" w:eastAsia="华文新魏"/>
          <w:b/>
          <w:color w:val="000000" w:themeColor="text1"/>
          <w:sz w:val="44"/>
          <w:szCs w:val="44"/>
          <w:lang w:eastAsia="zh-CN"/>
        </w:rPr>
      </w:pPr>
      <w:r>
        <w:rPr>
          <w:rFonts w:hint="eastAsia" w:ascii="华文新魏" w:eastAsia="华文新魏"/>
          <w:b/>
          <w:color w:val="000000" w:themeColor="text1"/>
          <w:sz w:val="44"/>
          <w:szCs w:val="44"/>
          <w:lang w:eastAsia="zh-CN"/>
        </w:rPr>
        <w:t>焦场封闭项目</w:t>
      </w:r>
    </w:p>
    <w:p>
      <w:pPr>
        <w:spacing w:after="0" w:line="360" w:lineRule="auto"/>
        <w:jc w:val="center"/>
        <w:rPr>
          <w:rFonts w:ascii="华文新魏" w:eastAsia="华文新魏"/>
          <w:color w:val="000000" w:themeColor="text1"/>
          <w:sz w:val="48"/>
          <w:szCs w:val="48"/>
        </w:rPr>
      </w:pPr>
      <w:r>
        <w:rPr>
          <w:rFonts w:hint="eastAsia" w:ascii="华文新魏" w:eastAsia="华文新魏"/>
          <w:b/>
          <w:color w:val="000000" w:themeColor="text1"/>
          <w:sz w:val="44"/>
          <w:szCs w:val="44"/>
        </w:rPr>
        <w:t>竣工环境保护验收监测报告表</w:t>
      </w:r>
    </w:p>
    <w:p>
      <w:pPr>
        <w:spacing w:line="360" w:lineRule="auto"/>
        <w:jc w:val="center"/>
        <w:rPr>
          <w:rFonts w:ascii="仿宋_GB2312" w:eastAsia="仿宋_GB2312"/>
          <w:color w:val="000000" w:themeColor="text1"/>
          <w:sz w:val="28"/>
        </w:rPr>
      </w:pPr>
    </w:p>
    <w:p>
      <w:pPr>
        <w:jc w:val="center"/>
        <w:rPr>
          <w:rFonts w:ascii="仿宋_GB2312" w:eastAsia="仿宋_GB2312"/>
          <w:color w:val="FF0000"/>
          <w:sz w:val="28"/>
        </w:rPr>
      </w:pPr>
    </w:p>
    <w:p>
      <w:pPr>
        <w:jc w:val="center"/>
        <w:rPr>
          <w:rFonts w:ascii="仿宋_GB2312" w:eastAsia="仿宋_GB2312"/>
          <w:color w:val="FF0000"/>
          <w:sz w:val="28"/>
        </w:rPr>
      </w:pPr>
    </w:p>
    <w:p>
      <w:pPr>
        <w:jc w:val="center"/>
        <w:rPr>
          <w:rFonts w:ascii="仿宋_GB2312" w:eastAsia="仿宋_GB2312"/>
          <w:color w:val="FF0000"/>
          <w:sz w:val="28"/>
        </w:rPr>
      </w:pPr>
    </w:p>
    <w:p>
      <w:pPr>
        <w:jc w:val="center"/>
        <w:rPr>
          <w:rFonts w:ascii="仿宋_GB2312" w:eastAsia="仿宋_GB2312"/>
          <w:color w:val="FF0000"/>
          <w:sz w:val="28"/>
        </w:rPr>
      </w:pPr>
    </w:p>
    <w:p>
      <w:pPr>
        <w:jc w:val="center"/>
        <w:rPr>
          <w:rFonts w:ascii="仿宋_GB2312" w:eastAsia="仿宋_GB2312"/>
          <w:color w:val="FF0000"/>
          <w:sz w:val="28"/>
        </w:rPr>
      </w:pPr>
    </w:p>
    <w:p>
      <w:pPr>
        <w:jc w:val="center"/>
        <w:rPr>
          <w:rFonts w:ascii="仿宋_GB2312" w:eastAsia="仿宋_GB2312"/>
          <w:color w:val="FF0000"/>
          <w:sz w:val="28"/>
        </w:rPr>
      </w:pPr>
    </w:p>
    <w:p>
      <w:pPr>
        <w:jc w:val="center"/>
        <w:rPr>
          <w:rFonts w:ascii="仿宋_GB2312" w:eastAsia="仿宋_GB2312"/>
          <w:color w:val="FF0000"/>
          <w:sz w:val="28"/>
        </w:rPr>
      </w:pPr>
    </w:p>
    <w:p>
      <w:pPr>
        <w:rPr>
          <w:rFonts w:ascii="仿宋_GB2312" w:eastAsia="仿宋_GB2312"/>
          <w:color w:val="FF0000"/>
          <w:sz w:val="28"/>
        </w:rPr>
      </w:pPr>
    </w:p>
    <w:p>
      <w:pPr>
        <w:ind w:firstLine="1545" w:firstLineChars="513"/>
        <w:rPr>
          <w:rFonts w:ascii="华文新魏" w:eastAsia="华文新魏"/>
          <w:b/>
          <w:color w:val="000000" w:themeColor="text1"/>
          <w:sz w:val="30"/>
          <w:szCs w:val="30"/>
        </w:rPr>
      </w:pPr>
      <w:r>
        <w:rPr>
          <w:rFonts w:hint="eastAsia" w:ascii="华文新魏" w:eastAsia="华文新魏"/>
          <w:b/>
          <w:color w:val="000000" w:themeColor="text1"/>
          <w:sz w:val="30"/>
          <w:szCs w:val="30"/>
        </w:rPr>
        <w:t>建设单位：山东潍焦集团薛城能源有限公司</w:t>
      </w:r>
    </w:p>
    <w:p>
      <w:pPr>
        <w:spacing w:line="360" w:lineRule="auto"/>
        <w:ind w:firstLine="1545" w:firstLineChars="513"/>
        <w:rPr>
          <w:rFonts w:ascii="华文新魏" w:eastAsia="华文新魏"/>
          <w:b/>
          <w:color w:val="000000" w:themeColor="text1"/>
          <w:sz w:val="30"/>
          <w:szCs w:val="30"/>
        </w:rPr>
      </w:pPr>
      <w:r>
        <w:rPr>
          <w:rFonts w:hint="eastAsia" w:ascii="华文新魏" w:eastAsia="华文新魏"/>
          <w:b/>
          <w:color w:val="000000" w:themeColor="text1"/>
          <w:sz w:val="30"/>
          <w:szCs w:val="30"/>
        </w:rPr>
        <w:t>编制单位：山东潍焦集团薛城能源有限公司</w:t>
      </w:r>
    </w:p>
    <w:p>
      <w:pPr>
        <w:rPr>
          <w:rFonts w:ascii="仿宋_GB2312" w:eastAsia="仿宋_GB2312"/>
          <w:color w:val="FF0000"/>
          <w:sz w:val="28"/>
        </w:rPr>
      </w:pPr>
    </w:p>
    <w:p>
      <w:pPr>
        <w:jc w:val="center"/>
        <w:rPr>
          <w:rFonts w:ascii="华文新魏" w:eastAsia="华文新魏"/>
          <w:color w:val="000000" w:themeColor="text1"/>
          <w:sz w:val="28"/>
          <w:szCs w:val="28"/>
        </w:rPr>
        <w:sectPr>
          <w:headerReference r:id="rId6" w:type="first"/>
          <w:footerReference r:id="rId9" w:type="first"/>
          <w:headerReference r:id="rId4" w:type="default"/>
          <w:footerReference r:id="rId7" w:type="default"/>
          <w:headerReference r:id="rId5" w:type="even"/>
          <w:footerReference r:id="rId8" w:type="even"/>
          <w:pgSz w:w="11906" w:h="16838"/>
          <w:pgMar w:top="1440" w:right="1440" w:bottom="1440" w:left="1440" w:header="851" w:footer="992" w:gutter="0"/>
          <w:pgBorders>
            <w:top w:val="none" w:sz="0" w:space="0"/>
            <w:left w:val="none" w:sz="0" w:space="0"/>
            <w:bottom w:val="none" w:sz="0" w:space="0"/>
            <w:right w:val="none" w:sz="0" w:space="0"/>
          </w:pgBorders>
          <w:pgNumType w:fmt="upperRoman" w:start="1"/>
          <w:cols w:space="425" w:num="1"/>
          <w:titlePg/>
          <w:docGrid w:type="lines" w:linePitch="312" w:charSpace="0"/>
        </w:sectPr>
      </w:pPr>
      <w:r>
        <w:rPr>
          <w:rFonts w:hint="eastAsia" w:ascii="华文新魏" w:eastAsia="华文新魏"/>
          <w:b/>
          <w:color w:val="000000" w:themeColor="text1"/>
          <w:sz w:val="28"/>
          <w:szCs w:val="28"/>
        </w:rPr>
        <w:t>2022</w:t>
      </w:r>
      <w:r>
        <w:rPr>
          <w:rFonts w:hint="eastAsia" w:ascii="华文新魏" w:eastAsia="华文新魏"/>
          <w:color w:val="000000" w:themeColor="text1"/>
          <w:sz w:val="28"/>
          <w:szCs w:val="28"/>
        </w:rPr>
        <w:t>年</w:t>
      </w:r>
      <w:r>
        <w:rPr>
          <w:rFonts w:hint="eastAsia" w:ascii="华文新魏" w:eastAsia="华文新魏"/>
          <w:b/>
          <w:color w:val="000000" w:themeColor="text1"/>
          <w:sz w:val="28"/>
          <w:szCs w:val="28"/>
          <w:lang w:val="en-US" w:eastAsia="zh-CN"/>
        </w:rPr>
        <w:t>7</w:t>
      </w:r>
      <w:r>
        <w:rPr>
          <w:rFonts w:hint="eastAsia" w:ascii="华文新魏" w:eastAsia="华文新魏"/>
          <w:color w:val="000000" w:themeColor="text1"/>
          <w:sz w:val="28"/>
          <w:szCs w:val="28"/>
        </w:rPr>
        <w:t>月</w:t>
      </w:r>
    </w:p>
    <w:p>
      <w:pPr>
        <w:rPr>
          <w:rFonts w:ascii="仿宋_GB2312" w:eastAsia="仿宋_GB2312"/>
          <w:color w:val="000000" w:themeColor="text1"/>
          <w:sz w:val="32"/>
        </w:rPr>
      </w:pPr>
    </w:p>
    <w:p>
      <w:pPr>
        <w:spacing w:line="360" w:lineRule="auto"/>
        <w:rPr>
          <w:rFonts w:ascii="宋体" w:hAnsi="宋体" w:eastAsia="宋体"/>
          <w:color w:val="000000" w:themeColor="text1"/>
          <w:sz w:val="28"/>
          <w:szCs w:val="28"/>
        </w:rPr>
      </w:pPr>
      <w:r>
        <w:rPr>
          <w:rFonts w:hint="eastAsia" w:ascii="宋体" w:hAnsi="宋体" w:eastAsia="宋体"/>
          <w:b/>
          <w:color w:val="000000" w:themeColor="text1"/>
          <w:sz w:val="28"/>
          <w:szCs w:val="28"/>
        </w:rPr>
        <w:t>建设单位法人代表</w:t>
      </w:r>
      <w:r>
        <w:rPr>
          <w:rFonts w:ascii="宋体" w:hAnsi="宋体" w:eastAsia="宋体"/>
          <w:b/>
          <w:color w:val="000000" w:themeColor="text1"/>
          <w:sz w:val="28"/>
          <w:szCs w:val="28"/>
        </w:rPr>
        <w:t>:</w:t>
      </w:r>
      <w:r>
        <w:rPr>
          <w:rFonts w:ascii="宋体" w:hAnsi="宋体" w:eastAsia="宋体"/>
          <w:color w:val="000000" w:themeColor="text1"/>
          <w:sz w:val="28"/>
          <w:szCs w:val="28"/>
        </w:rPr>
        <w:tab/>
      </w:r>
    </w:p>
    <w:p>
      <w:pPr>
        <w:spacing w:line="360" w:lineRule="auto"/>
        <w:rPr>
          <w:rFonts w:ascii="宋体" w:hAnsi="宋体" w:eastAsia="宋体"/>
          <w:color w:val="000000" w:themeColor="text1"/>
          <w:sz w:val="28"/>
          <w:szCs w:val="28"/>
        </w:rPr>
      </w:pPr>
      <w:r>
        <w:rPr>
          <w:rFonts w:hint="eastAsia" w:ascii="宋体" w:hAnsi="宋体" w:eastAsia="宋体"/>
          <w:b/>
          <w:color w:val="000000" w:themeColor="text1"/>
          <w:sz w:val="28"/>
          <w:szCs w:val="28"/>
        </w:rPr>
        <w:t>编制单位法人代表</w:t>
      </w:r>
      <w:r>
        <w:rPr>
          <w:rFonts w:ascii="宋体" w:hAnsi="宋体" w:eastAsia="宋体"/>
          <w:b/>
          <w:color w:val="000000" w:themeColor="text1"/>
          <w:sz w:val="28"/>
          <w:szCs w:val="28"/>
        </w:rPr>
        <w:t>:</w:t>
      </w:r>
      <w:r>
        <w:rPr>
          <w:rFonts w:ascii="宋体" w:hAnsi="宋体" w:eastAsia="宋体"/>
          <w:color w:val="000000" w:themeColor="text1"/>
          <w:sz w:val="28"/>
          <w:szCs w:val="28"/>
        </w:rPr>
        <w:tab/>
      </w:r>
    </w:p>
    <w:p>
      <w:pPr>
        <w:spacing w:line="360" w:lineRule="auto"/>
        <w:rPr>
          <w:rFonts w:ascii="宋体" w:hAnsi="宋体" w:eastAsia="宋体"/>
          <w:b/>
          <w:color w:val="000000" w:themeColor="text1"/>
          <w:spacing w:val="7"/>
          <w:w w:val="79"/>
          <w:sz w:val="28"/>
          <w:szCs w:val="28"/>
        </w:rPr>
      </w:pPr>
      <w:r>
        <w:rPr>
          <w:rFonts w:hint="eastAsia" w:ascii="宋体" w:hAnsi="宋体" w:eastAsia="宋体"/>
          <w:b/>
          <w:color w:val="000000" w:themeColor="text1"/>
          <w:spacing w:val="20"/>
          <w:w w:val="79"/>
          <w:sz w:val="28"/>
          <w:szCs w:val="28"/>
        </w:rPr>
        <w:t>项  目  负  责  人</w:t>
      </w:r>
      <w:r>
        <w:rPr>
          <w:rFonts w:ascii="宋体" w:hAnsi="宋体" w:eastAsia="宋体"/>
          <w:b/>
          <w:color w:val="000000" w:themeColor="text1"/>
          <w:spacing w:val="10"/>
          <w:w w:val="79"/>
          <w:sz w:val="28"/>
          <w:szCs w:val="28"/>
        </w:rPr>
        <w:t>:</w:t>
      </w:r>
    </w:p>
    <w:p>
      <w:pPr>
        <w:spacing w:line="360" w:lineRule="auto"/>
        <w:rPr>
          <w:rFonts w:ascii="宋体" w:hAnsi="宋体" w:eastAsia="宋体"/>
          <w:b/>
          <w:color w:val="000000" w:themeColor="text1"/>
          <w:spacing w:val="7"/>
          <w:w w:val="79"/>
          <w:sz w:val="28"/>
          <w:szCs w:val="28"/>
        </w:rPr>
      </w:pPr>
      <w:r>
        <w:rPr>
          <w:rFonts w:hint="eastAsia" w:ascii="宋体" w:hAnsi="宋体" w:eastAsia="宋体"/>
          <w:b/>
          <w:color w:val="000000" w:themeColor="text1"/>
          <w:spacing w:val="20"/>
          <w:w w:val="79"/>
          <w:sz w:val="28"/>
          <w:szCs w:val="28"/>
        </w:rPr>
        <w:t>报  告  编  制  人</w:t>
      </w:r>
      <w:r>
        <w:rPr>
          <w:rFonts w:hint="eastAsia" w:ascii="宋体" w:hAnsi="宋体" w:eastAsia="宋体"/>
          <w:b/>
          <w:color w:val="000000" w:themeColor="text1"/>
          <w:spacing w:val="2"/>
          <w:w w:val="79"/>
          <w:sz w:val="28"/>
          <w:szCs w:val="28"/>
        </w:rPr>
        <w:t>：</w:t>
      </w:r>
    </w:p>
    <w:p>
      <w:pPr>
        <w:spacing w:line="360" w:lineRule="auto"/>
        <w:rPr>
          <w:rFonts w:ascii="宋体" w:hAnsi="宋体" w:eastAsia="宋体"/>
          <w:color w:val="000000" w:themeColor="text1"/>
          <w:sz w:val="28"/>
          <w:szCs w:val="28"/>
        </w:rPr>
      </w:pPr>
      <w:r>
        <w:rPr>
          <w:rFonts w:ascii="宋体" w:hAnsi="宋体" w:eastAsia="宋体"/>
          <w:color w:val="000000" w:themeColor="text1"/>
          <w:sz w:val="28"/>
          <w:szCs w:val="28"/>
        </w:rPr>
        <w:tab/>
      </w:r>
    </w:p>
    <w:p>
      <w:pPr>
        <w:spacing w:line="360" w:lineRule="auto"/>
        <w:rPr>
          <w:rFonts w:ascii="宋体" w:hAnsi="宋体" w:eastAsia="宋体"/>
          <w:color w:val="000000" w:themeColor="text1"/>
          <w:sz w:val="28"/>
          <w:szCs w:val="28"/>
        </w:rPr>
      </w:pPr>
    </w:p>
    <w:p>
      <w:pPr>
        <w:spacing w:line="360" w:lineRule="auto"/>
        <w:rPr>
          <w:rFonts w:asciiTheme="minorEastAsia" w:hAnsiTheme="minorEastAsia" w:eastAsiaTheme="minorEastAsia"/>
          <w:color w:val="000000" w:themeColor="text1"/>
          <w:sz w:val="28"/>
        </w:rPr>
      </w:pPr>
    </w:p>
    <w:p>
      <w:pPr>
        <w:tabs>
          <w:tab w:val="left" w:pos="984"/>
        </w:tabs>
        <w:spacing w:line="360" w:lineRule="auto"/>
        <w:rPr>
          <w:rFonts w:ascii="Times New Roman" w:hAnsi="Times New Roman" w:eastAsia="宋体" w:cs="Times New Roman"/>
          <w:color w:val="000000" w:themeColor="text1"/>
          <w:sz w:val="28"/>
        </w:rPr>
      </w:pPr>
      <w:r>
        <w:rPr>
          <w:rFonts w:ascii="Times New Roman" w:hAnsi="Times New Roman" w:eastAsia="宋体" w:cs="Times New Roman"/>
          <w:color w:val="000000" w:themeColor="text1"/>
          <w:sz w:val="28"/>
        </w:rPr>
        <w:tab/>
      </w:r>
    </w:p>
    <w:p>
      <w:pPr>
        <w:spacing w:after="0" w:line="360" w:lineRule="auto"/>
        <w:ind w:left="-84" w:leftChars="-38" w:right="-341" w:rightChars="-155" w:firstLine="3" w:firstLineChars="1"/>
        <w:rPr>
          <w:rFonts w:ascii="Times New Roman" w:hAnsi="Times New Roman" w:eastAsia="宋体" w:cs="Times New Roman"/>
          <w:color w:val="000000" w:themeColor="text1"/>
          <w:sz w:val="28"/>
          <w:szCs w:val="28"/>
        </w:rPr>
      </w:pPr>
      <w:r>
        <w:rPr>
          <w:rFonts w:ascii="Times New Roman" w:hAnsi="宋体" w:eastAsia="宋体" w:cs="Times New Roman"/>
          <w:b/>
          <w:color w:val="000000" w:themeColor="text1"/>
          <w:sz w:val="28"/>
          <w:szCs w:val="28"/>
        </w:rPr>
        <w:t>建设单位：</w:t>
      </w:r>
      <w:r>
        <w:rPr>
          <w:rFonts w:hint="eastAsia" w:ascii="Times New Roman" w:hAnsi="宋体" w:eastAsia="宋体" w:cs="Times New Roman"/>
          <w:color w:val="000000" w:themeColor="text1"/>
          <w:sz w:val="24"/>
        </w:rPr>
        <w:t>山东潍焦集团薛城能源有限公司</w:t>
      </w:r>
      <w:r>
        <w:rPr>
          <w:rFonts w:ascii="Times New Roman" w:hAnsi="Times New Roman" w:eastAsia="宋体" w:cs="Times New Roman"/>
          <w:color w:val="000000" w:themeColor="text1"/>
          <w:sz w:val="28"/>
          <w:szCs w:val="28"/>
        </w:rPr>
        <w:t xml:space="preserve"> </w:t>
      </w:r>
      <w:r>
        <w:rPr>
          <w:rFonts w:ascii="Times New Roman" w:hAnsi="宋体" w:eastAsia="宋体" w:cs="Times New Roman"/>
          <w:color w:val="000000" w:themeColor="text1"/>
          <w:sz w:val="28"/>
          <w:szCs w:val="28"/>
        </w:rPr>
        <w:t>（盖章）</w:t>
      </w:r>
      <w:r>
        <w:rPr>
          <w:rFonts w:ascii="Times New Roman" w:hAnsi="Times New Roman" w:eastAsia="宋体" w:cs="Times New Roman"/>
          <w:color w:val="000000" w:themeColor="text1"/>
          <w:sz w:val="28"/>
          <w:szCs w:val="28"/>
        </w:rPr>
        <w:t xml:space="preserve">                           </w:t>
      </w:r>
    </w:p>
    <w:p>
      <w:pPr>
        <w:spacing w:after="0" w:line="360" w:lineRule="auto"/>
        <w:ind w:left="-84" w:leftChars="-38" w:firstLine="3" w:firstLineChars="1"/>
        <w:rPr>
          <w:rFonts w:ascii="Times New Roman" w:hAnsi="Times New Roman" w:eastAsia="宋体" w:cs="Times New Roman"/>
          <w:color w:val="000000" w:themeColor="text1"/>
          <w:sz w:val="24"/>
        </w:rPr>
      </w:pPr>
      <w:r>
        <w:rPr>
          <w:rFonts w:ascii="Times New Roman" w:hAnsi="宋体" w:eastAsia="宋体" w:cs="Times New Roman"/>
          <w:b/>
          <w:color w:val="000000" w:themeColor="text1"/>
          <w:sz w:val="28"/>
          <w:szCs w:val="28"/>
        </w:rPr>
        <w:t>电话</w:t>
      </w:r>
      <w:r>
        <w:rPr>
          <w:rFonts w:ascii="Times New Roman" w:hAnsi="Times New Roman" w:eastAsia="宋体" w:cs="Times New Roman"/>
          <w:b/>
          <w:color w:val="000000" w:themeColor="text1"/>
          <w:sz w:val="28"/>
          <w:szCs w:val="28"/>
        </w:rPr>
        <w:t xml:space="preserve">: </w:t>
      </w:r>
      <w:r>
        <w:rPr>
          <w:rFonts w:hint="eastAsia" w:ascii="Times New Roman" w:hAnsi="宋体" w:eastAsia="宋体" w:cs="Times New Roman"/>
          <w:color w:val="000000" w:themeColor="text1"/>
          <w:sz w:val="24"/>
        </w:rPr>
        <w:t>0632-4426094</w:t>
      </w:r>
    </w:p>
    <w:p>
      <w:pPr>
        <w:spacing w:after="0" w:line="360" w:lineRule="auto"/>
        <w:ind w:left="-84" w:leftChars="-38" w:firstLine="3" w:firstLineChars="1"/>
        <w:rPr>
          <w:rFonts w:ascii="Times New Roman" w:hAnsi="Times New Roman" w:cs="Times New Roman"/>
          <w:color w:val="000000" w:themeColor="text1"/>
          <w:sz w:val="28"/>
          <w:szCs w:val="28"/>
        </w:rPr>
      </w:pPr>
      <w:r>
        <w:rPr>
          <w:rFonts w:ascii="Times New Roman" w:hAnsi="宋体" w:eastAsia="宋体" w:cs="Times New Roman"/>
          <w:b/>
          <w:color w:val="000000" w:themeColor="text1"/>
          <w:sz w:val="28"/>
          <w:szCs w:val="28"/>
        </w:rPr>
        <w:t>邮编</w:t>
      </w:r>
      <w:r>
        <w:rPr>
          <w:rFonts w:ascii="Times New Roman" w:hAnsi="Times New Roman" w:eastAsia="宋体" w:cs="Times New Roman"/>
          <w:b/>
          <w:color w:val="000000" w:themeColor="text1"/>
          <w:sz w:val="28"/>
          <w:szCs w:val="28"/>
        </w:rPr>
        <w:t>:</w:t>
      </w:r>
      <w:r>
        <w:rPr>
          <w:rFonts w:ascii="Times New Roman" w:hAnsi="Times New Roman" w:cs="Times New Roman"/>
          <w:bCs/>
          <w:color w:val="000000" w:themeColor="text1"/>
          <w:sz w:val="24"/>
        </w:rPr>
        <w:t xml:space="preserve"> 277</w:t>
      </w:r>
      <w:r>
        <w:rPr>
          <w:rFonts w:hint="eastAsia" w:ascii="Times New Roman" w:hAnsi="Times New Roman" w:cs="Times New Roman"/>
          <w:bCs/>
          <w:color w:val="000000" w:themeColor="text1"/>
          <w:sz w:val="24"/>
        </w:rPr>
        <w:t>000</w:t>
      </w:r>
    </w:p>
    <w:p>
      <w:pPr>
        <w:spacing w:after="0" w:line="360" w:lineRule="auto"/>
        <w:ind w:left="-84" w:leftChars="-38" w:firstLine="3" w:firstLineChars="1"/>
        <w:rPr>
          <w:rFonts w:ascii="Times New Roman" w:hAnsi="Times New Roman" w:eastAsia="宋体" w:cs="Times New Roman"/>
          <w:color w:val="000000" w:themeColor="text1"/>
          <w:sz w:val="28"/>
          <w:szCs w:val="28"/>
        </w:rPr>
      </w:pPr>
      <w:r>
        <w:rPr>
          <w:rFonts w:ascii="Times New Roman" w:hAnsi="宋体" w:eastAsia="宋体" w:cs="Times New Roman"/>
          <w:b/>
          <w:color w:val="000000" w:themeColor="text1"/>
          <w:sz w:val="28"/>
          <w:szCs w:val="28"/>
        </w:rPr>
        <w:t>地址</w:t>
      </w:r>
      <w:r>
        <w:rPr>
          <w:rFonts w:ascii="Times New Roman" w:hAnsi="Times New Roman" w:eastAsia="宋体" w:cs="Times New Roman"/>
          <w:b/>
          <w:color w:val="000000" w:themeColor="text1"/>
          <w:sz w:val="28"/>
          <w:szCs w:val="28"/>
        </w:rPr>
        <w:t>:</w:t>
      </w:r>
      <w:r>
        <w:rPr>
          <w:rFonts w:ascii="Times New Roman" w:hAnsi="Times New Roman" w:eastAsia="宋体" w:cs="Times New Roman"/>
          <w:color w:val="000000" w:themeColor="text1"/>
          <w:sz w:val="24"/>
          <w:szCs w:val="24"/>
        </w:rPr>
        <w:t xml:space="preserve"> </w:t>
      </w:r>
      <w:r>
        <w:rPr>
          <w:rFonts w:hint="eastAsia" w:ascii="Times New Roman" w:hAnsi="宋体" w:eastAsia="宋体" w:cs="Times New Roman"/>
          <w:color w:val="000000" w:themeColor="text1"/>
          <w:sz w:val="24"/>
        </w:rPr>
        <w:t>枣庄市薛城区薛城化工产业园（山东潍焦集团薛城能源有限公司）</w:t>
      </w:r>
    </w:p>
    <w:p>
      <w:pPr>
        <w:spacing w:after="0" w:line="360" w:lineRule="auto"/>
        <w:ind w:left="-84" w:leftChars="-38" w:right="-341" w:rightChars="-155" w:firstLine="3" w:firstLineChars="1"/>
        <w:rPr>
          <w:rFonts w:ascii="Times New Roman" w:hAnsi="Times New Roman" w:eastAsia="宋体" w:cs="Times New Roman"/>
          <w:b/>
          <w:color w:val="000000" w:themeColor="text1"/>
          <w:sz w:val="28"/>
          <w:szCs w:val="28"/>
        </w:rPr>
      </w:pPr>
    </w:p>
    <w:p>
      <w:pPr>
        <w:spacing w:after="0" w:line="360" w:lineRule="auto"/>
        <w:ind w:left="-84" w:leftChars="-38" w:right="-341" w:rightChars="-155" w:firstLine="3" w:firstLineChars="1"/>
        <w:rPr>
          <w:rFonts w:ascii="Times New Roman" w:hAnsi="Times New Roman" w:eastAsia="宋体" w:cs="Times New Roman"/>
          <w:color w:val="000000" w:themeColor="text1"/>
          <w:sz w:val="28"/>
          <w:szCs w:val="28"/>
        </w:rPr>
      </w:pPr>
      <w:r>
        <w:rPr>
          <w:rFonts w:ascii="Times New Roman" w:hAnsi="宋体" w:eastAsia="宋体" w:cs="Times New Roman"/>
          <w:b/>
          <w:color w:val="000000" w:themeColor="text1"/>
          <w:sz w:val="28"/>
          <w:szCs w:val="28"/>
        </w:rPr>
        <w:t>编制单位：</w:t>
      </w:r>
      <w:r>
        <w:rPr>
          <w:rFonts w:hint="eastAsia" w:ascii="Times New Roman" w:hAnsi="宋体" w:eastAsia="宋体" w:cs="Times New Roman"/>
          <w:color w:val="000000" w:themeColor="text1"/>
          <w:sz w:val="24"/>
        </w:rPr>
        <w:t>山东潍焦集团薛城能源有限公司</w:t>
      </w:r>
      <w:r>
        <w:rPr>
          <w:rFonts w:ascii="Times New Roman" w:hAnsi="宋体" w:eastAsia="宋体" w:cs="Times New Roman"/>
          <w:color w:val="000000" w:themeColor="text1"/>
          <w:sz w:val="28"/>
          <w:szCs w:val="28"/>
        </w:rPr>
        <w:t>（盖章）</w:t>
      </w:r>
    </w:p>
    <w:p>
      <w:pPr>
        <w:spacing w:after="0" w:line="360" w:lineRule="auto"/>
        <w:ind w:left="-84" w:leftChars="-38" w:firstLine="3" w:firstLineChars="1"/>
        <w:rPr>
          <w:rFonts w:ascii="Times New Roman" w:hAnsi="Times New Roman" w:eastAsia="宋体" w:cs="Times New Roman"/>
          <w:color w:val="000000" w:themeColor="text1"/>
          <w:sz w:val="24"/>
        </w:rPr>
      </w:pPr>
      <w:r>
        <w:rPr>
          <w:rFonts w:ascii="Times New Roman" w:hAnsi="宋体" w:eastAsia="宋体" w:cs="Times New Roman"/>
          <w:b/>
          <w:color w:val="000000" w:themeColor="text1"/>
          <w:sz w:val="28"/>
          <w:szCs w:val="28"/>
        </w:rPr>
        <w:t>电话</w:t>
      </w:r>
      <w:r>
        <w:rPr>
          <w:rFonts w:ascii="Times New Roman" w:hAnsi="Times New Roman" w:eastAsia="宋体" w:cs="Times New Roman"/>
          <w:b/>
          <w:color w:val="000000" w:themeColor="text1"/>
          <w:sz w:val="28"/>
          <w:szCs w:val="28"/>
        </w:rPr>
        <w:t xml:space="preserve">: </w:t>
      </w:r>
      <w:r>
        <w:rPr>
          <w:rFonts w:hint="eastAsia" w:ascii="Times New Roman" w:hAnsi="宋体" w:eastAsia="宋体" w:cs="Times New Roman"/>
          <w:color w:val="000000" w:themeColor="text1"/>
          <w:sz w:val="24"/>
        </w:rPr>
        <w:t>0632-4426094</w:t>
      </w:r>
    </w:p>
    <w:p>
      <w:pPr>
        <w:spacing w:after="0" w:line="360" w:lineRule="auto"/>
        <w:ind w:left="-84" w:leftChars="-38" w:firstLine="3" w:firstLineChars="1"/>
        <w:rPr>
          <w:rFonts w:ascii="Times New Roman" w:hAnsi="Times New Roman" w:cs="Times New Roman"/>
          <w:color w:val="000000" w:themeColor="text1"/>
          <w:sz w:val="28"/>
          <w:szCs w:val="28"/>
        </w:rPr>
      </w:pPr>
      <w:r>
        <w:rPr>
          <w:rFonts w:ascii="Times New Roman" w:hAnsi="宋体" w:eastAsia="宋体" w:cs="Times New Roman"/>
          <w:b/>
          <w:color w:val="000000" w:themeColor="text1"/>
          <w:sz w:val="28"/>
          <w:szCs w:val="28"/>
        </w:rPr>
        <w:t>邮编</w:t>
      </w:r>
      <w:r>
        <w:rPr>
          <w:rFonts w:ascii="Times New Roman" w:hAnsi="Times New Roman" w:eastAsia="宋体" w:cs="Times New Roman"/>
          <w:b/>
          <w:color w:val="000000" w:themeColor="text1"/>
          <w:sz w:val="28"/>
          <w:szCs w:val="28"/>
        </w:rPr>
        <w:t>:</w:t>
      </w:r>
      <w:r>
        <w:rPr>
          <w:rFonts w:ascii="Times New Roman" w:hAnsi="Times New Roman" w:cs="Times New Roman"/>
          <w:bCs/>
          <w:color w:val="000000" w:themeColor="text1"/>
          <w:sz w:val="24"/>
        </w:rPr>
        <w:t xml:space="preserve"> 277</w:t>
      </w:r>
      <w:r>
        <w:rPr>
          <w:rFonts w:hint="eastAsia" w:ascii="Times New Roman" w:hAnsi="Times New Roman" w:cs="Times New Roman"/>
          <w:bCs/>
          <w:color w:val="000000" w:themeColor="text1"/>
          <w:sz w:val="24"/>
        </w:rPr>
        <w:t>000</w:t>
      </w:r>
    </w:p>
    <w:p>
      <w:pPr>
        <w:spacing w:after="0" w:line="360" w:lineRule="auto"/>
        <w:ind w:left="-84" w:leftChars="-38" w:firstLine="3" w:firstLineChars="1"/>
        <w:rPr>
          <w:rFonts w:ascii="Times New Roman" w:hAnsi="宋体" w:eastAsia="宋体" w:cs="Times New Roman"/>
          <w:color w:val="000000" w:themeColor="text1"/>
          <w:sz w:val="24"/>
          <w:szCs w:val="24"/>
        </w:rPr>
        <w:sectPr>
          <w:footerReference r:id="rId10" w:type="default"/>
          <w:pgSz w:w="11906" w:h="16838"/>
          <w:pgMar w:top="1440" w:right="1440" w:bottom="1440" w:left="1440" w:header="851" w:footer="992" w:gutter="0"/>
          <w:pgBorders>
            <w:top w:val="none" w:sz="0" w:space="0"/>
            <w:left w:val="none" w:sz="0" w:space="0"/>
            <w:bottom w:val="none" w:sz="0" w:space="0"/>
            <w:right w:val="none" w:sz="0" w:space="0"/>
          </w:pgBorders>
          <w:pgNumType w:fmt="upperRoman" w:start="1"/>
          <w:cols w:space="425" w:num="1"/>
          <w:titlePg/>
          <w:docGrid w:type="lines" w:linePitch="312" w:charSpace="0"/>
        </w:sectPr>
      </w:pPr>
      <w:r>
        <w:rPr>
          <w:rFonts w:ascii="Times New Roman" w:hAnsi="宋体" w:eastAsia="宋体" w:cs="Times New Roman"/>
          <w:b/>
          <w:color w:val="000000" w:themeColor="text1"/>
          <w:sz w:val="28"/>
          <w:szCs w:val="28"/>
        </w:rPr>
        <w:t>地址</w:t>
      </w:r>
      <w:r>
        <w:rPr>
          <w:rFonts w:ascii="Times New Roman" w:hAnsi="Times New Roman" w:eastAsia="宋体" w:cs="Times New Roman"/>
          <w:b/>
          <w:color w:val="000000" w:themeColor="text1"/>
          <w:sz w:val="28"/>
          <w:szCs w:val="28"/>
        </w:rPr>
        <w:t>:</w:t>
      </w:r>
      <w:r>
        <w:rPr>
          <w:rFonts w:ascii="Times New Roman" w:hAnsi="Times New Roman" w:eastAsia="宋体" w:cs="Times New Roman"/>
          <w:color w:val="000000" w:themeColor="text1"/>
          <w:sz w:val="24"/>
          <w:szCs w:val="24"/>
        </w:rPr>
        <w:t xml:space="preserve"> </w:t>
      </w:r>
      <w:r>
        <w:rPr>
          <w:rFonts w:hint="eastAsia" w:ascii="Times New Roman" w:hAnsi="宋体" w:eastAsia="宋体" w:cs="Times New Roman"/>
          <w:color w:val="000000" w:themeColor="text1"/>
          <w:sz w:val="24"/>
        </w:rPr>
        <w:t>枣庄市薛城区薛城化工产业园（山东潍焦集团薛城能源有限公司）</w:t>
      </w:r>
    </w:p>
    <w:p>
      <w:pPr>
        <w:adjustRightInd/>
        <w:snapToGrid/>
        <w:spacing w:line="220" w:lineRule="atLeast"/>
        <w:rPr>
          <w:b/>
          <w:bCs/>
          <w:color w:val="FF0000"/>
          <w:kern w:val="44"/>
          <w:sz w:val="32"/>
          <w:szCs w:val="32"/>
        </w:rPr>
      </w:pPr>
    </w:p>
    <w:p>
      <w:pPr>
        <w:pStyle w:val="8"/>
        <w:spacing w:line="360" w:lineRule="auto"/>
        <w:jc w:val="center"/>
        <w:rPr>
          <w:rFonts w:ascii="Times New Roman" w:hAnsi="宋体" w:cs="Times New Roman"/>
          <w:b w:val="0"/>
          <w:bCs w:val="0"/>
          <w:color w:val="000000" w:themeColor="text1"/>
          <w:kern w:val="0"/>
          <w:szCs w:val="28"/>
        </w:rPr>
      </w:pPr>
      <w:bookmarkStart w:id="0" w:name="_Toc4009298"/>
      <w:r>
        <w:rPr>
          <w:rFonts w:hint="eastAsia" w:ascii="Times New Roman" w:hAnsi="宋体" w:cs="Times New Roman"/>
          <w:b w:val="0"/>
          <w:bCs w:val="0"/>
          <w:color w:val="000000" w:themeColor="text1"/>
          <w:kern w:val="0"/>
          <w:szCs w:val="28"/>
        </w:rPr>
        <w:t>前  言</w:t>
      </w:r>
      <w:bookmarkEnd w:id="0"/>
    </w:p>
    <w:p>
      <w:pPr>
        <w:spacing w:after="0" w:line="360" w:lineRule="auto"/>
        <w:ind w:firstLine="482"/>
        <w:jc w:val="both"/>
        <w:rPr>
          <w:rFonts w:hint="default" w:ascii="Times New Roman" w:hAnsi="宋体" w:eastAsia="宋体" w:cs="Times New Roman"/>
          <w:color w:val="FF0000"/>
          <w:sz w:val="28"/>
          <w:szCs w:val="28"/>
          <w:lang w:val="en-US" w:eastAsia="zh-CN"/>
        </w:rPr>
      </w:pPr>
      <w:r>
        <w:rPr>
          <w:rFonts w:hint="eastAsia" w:ascii="Times New Roman" w:hAnsi="宋体" w:eastAsia="宋体" w:cs="Times New Roman"/>
          <w:color w:val="000000" w:themeColor="text1"/>
          <w:sz w:val="28"/>
          <w:szCs w:val="28"/>
        </w:rPr>
        <w:t>山东潍焦集团薛城能源有限公司，是在原山东薛城焦化厂的基础上，改组成的现代煤化工企业。2012年9月28日成立新公司，隶属山东潍焦控股集团有限公司。新厂区（薛城化工产业园）占地1000多亩，现有职工1680人，拥有国内较先进的2座5.5米、2座6.25米捣固焦炉以及与之配套的化工、配煤、热电和干熄焦系统，</w:t>
      </w:r>
      <w:r>
        <w:rPr>
          <w:rFonts w:hint="eastAsia" w:ascii="Times New Roman" w:hAnsi="宋体" w:eastAsia="宋体" w:cs="Times New Roman"/>
          <w:color w:val="000000" w:themeColor="text1"/>
          <w:sz w:val="28"/>
          <w:szCs w:val="28"/>
          <w:lang w:val="en-US" w:eastAsia="zh-CN"/>
        </w:rPr>
        <w:t>炼焦工艺区原料堆场堆放大量炼焦原料（煤）称为焦场区，堆料场的防尘措施设置为防风抑尘网方式。为进一步降低堆料场对周边环境的扬尘污染，同时减少堆料场存料的损失，公司于2020年7月投资建设“山东潍焦集团薛城能源有限公司焦场封闭项目”。通过新建穹顶网架结构将焦场封闭，封闭尺寸327米×107米，封闭面积约36000平方米，以解决大风天气焦场的扬尘问题，提升焦场的环境与空气质量。</w:t>
      </w:r>
    </w:p>
    <w:p>
      <w:pPr>
        <w:spacing w:after="0" w:line="360" w:lineRule="auto"/>
        <w:ind w:firstLine="482"/>
        <w:jc w:val="both"/>
        <w:rPr>
          <w:rFonts w:ascii="Times New Roman" w:hAnsi="宋体" w:eastAsia="宋体" w:cs="Times New Roman"/>
          <w:color w:val="000000" w:themeColor="text1"/>
          <w:sz w:val="28"/>
          <w:szCs w:val="28"/>
        </w:rPr>
      </w:pPr>
      <w:r>
        <w:rPr>
          <w:rFonts w:hint="eastAsia" w:ascii="Times New Roman" w:hAnsi="宋体" w:eastAsia="宋体" w:cs="Times New Roman"/>
          <w:color w:val="000000" w:themeColor="text1"/>
          <w:sz w:val="28"/>
          <w:szCs w:val="28"/>
        </w:rPr>
        <w:t>本项目</w:t>
      </w:r>
      <w:r>
        <w:rPr>
          <w:rFonts w:hint="eastAsia" w:ascii="Times New Roman" w:hAnsi="宋体" w:eastAsia="宋体" w:cs="Times New Roman"/>
          <w:color w:val="000000" w:themeColor="text1"/>
          <w:sz w:val="28"/>
          <w:szCs w:val="28"/>
          <w:lang w:val="en-US" w:eastAsia="zh-CN"/>
        </w:rPr>
        <w:t>性质</w:t>
      </w:r>
      <w:r>
        <w:rPr>
          <w:rFonts w:hint="eastAsia" w:ascii="Times New Roman" w:hAnsi="宋体" w:eastAsia="宋体" w:cs="Times New Roman"/>
          <w:color w:val="000000" w:themeColor="text1"/>
          <w:sz w:val="28"/>
          <w:szCs w:val="28"/>
        </w:rPr>
        <w:t>属于</w:t>
      </w:r>
      <w:r>
        <w:rPr>
          <w:rFonts w:hint="eastAsia" w:ascii="Times New Roman" w:hAnsi="宋体" w:eastAsia="宋体" w:cs="Times New Roman"/>
          <w:color w:val="000000" w:themeColor="text1"/>
          <w:sz w:val="28"/>
          <w:szCs w:val="28"/>
          <w:lang w:val="en-US" w:eastAsia="zh-CN"/>
        </w:rPr>
        <w:t>新</w:t>
      </w:r>
      <w:r>
        <w:rPr>
          <w:rFonts w:hint="eastAsia" w:ascii="Times New Roman" w:hAnsi="宋体" w:eastAsia="宋体" w:cs="Times New Roman"/>
          <w:color w:val="000000" w:themeColor="text1"/>
          <w:sz w:val="28"/>
          <w:szCs w:val="28"/>
        </w:rPr>
        <w:t>建项目，</w:t>
      </w:r>
      <w:r>
        <w:rPr>
          <w:rFonts w:hint="eastAsia" w:ascii="Times New Roman" w:hAnsi="宋体" w:eastAsia="宋体" w:cs="Times New Roman"/>
          <w:color w:val="000000" w:themeColor="text1"/>
          <w:sz w:val="28"/>
          <w:szCs w:val="28"/>
          <w:lang w:val="en-US" w:eastAsia="zh-CN"/>
        </w:rPr>
        <w:t>拟投资4100万元，于</w:t>
      </w:r>
      <w:r>
        <w:rPr>
          <w:rFonts w:hint="eastAsia" w:ascii="Times New Roman" w:hAnsi="宋体" w:eastAsia="宋体" w:cs="Times New Roman"/>
          <w:color w:val="000000" w:themeColor="text1"/>
          <w:sz w:val="28"/>
          <w:szCs w:val="28"/>
        </w:rPr>
        <w:t>202</w:t>
      </w:r>
      <w:r>
        <w:rPr>
          <w:rFonts w:hint="eastAsia" w:ascii="Times New Roman" w:hAnsi="宋体" w:eastAsia="宋体" w:cs="Times New Roman"/>
          <w:color w:val="000000" w:themeColor="text1"/>
          <w:sz w:val="28"/>
          <w:szCs w:val="28"/>
          <w:lang w:val="en-US" w:eastAsia="zh-CN"/>
        </w:rPr>
        <w:t>0</w:t>
      </w:r>
      <w:r>
        <w:rPr>
          <w:rFonts w:hint="eastAsia" w:ascii="Times New Roman" w:hAnsi="宋体" w:eastAsia="宋体" w:cs="Times New Roman"/>
          <w:color w:val="000000" w:themeColor="text1"/>
          <w:sz w:val="28"/>
          <w:szCs w:val="28"/>
        </w:rPr>
        <w:t>年</w:t>
      </w:r>
      <w:r>
        <w:rPr>
          <w:rFonts w:hint="eastAsia" w:ascii="Times New Roman" w:hAnsi="宋体" w:eastAsia="宋体" w:cs="Times New Roman"/>
          <w:color w:val="000000" w:themeColor="text1"/>
          <w:sz w:val="28"/>
          <w:szCs w:val="28"/>
          <w:lang w:val="en-US" w:eastAsia="zh-CN"/>
        </w:rPr>
        <w:t>7</w:t>
      </w:r>
      <w:r>
        <w:rPr>
          <w:rFonts w:hint="eastAsia" w:ascii="Times New Roman" w:hAnsi="宋体" w:eastAsia="宋体" w:cs="Times New Roman"/>
          <w:color w:val="000000" w:themeColor="text1"/>
          <w:sz w:val="28"/>
          <w:szCs w:val="28"/>
        </w:rPr>
        <w:t>月</w:t>
      </w:r>
      <w:r>
        <w:rPr>
          <w:rFonts w:hint="eastAsia" w:ascii="Times New Roman" w:hAnsi="宋体" w:eastAsia="宋体" w:cs="Times New Roman"/>
          <w:color w:val="000000" w:themeColor="text1"/>
          <w:sz w:val="28"/>
          <w:szCs w:val="28"/>
          <w:lang w:val="en-US" w:eastAsia="zh-CN"/>
        </w:rPr>
        <w:t>23</w:t>
      </w:r>
      <w:r>
        <w:rPr>
          <w:rFonts w:hint="eastAsia" w:ascii="Times New Roman" w:hAnsi="宋体" w:eastAsia="宋体" w:cs="Times New Roman"/>
          <w:color w:val="000000" w:themeColor="text1"/>
          <w:sz w:val="28"/>
          <w:szCs w:val="28"/>
        </w:rPr>
        <w:t>日在薛城区发展和改革局立项备案（项目代码为</w:t>
      </w:r>
      <w:r>
        <w:rPr>
          <w:rFonts w:hint="eastAsia" w:ascii="Times New Roman" w:hAnsi="宋体" w:eastAsia="宋体" w:cs="Times New Roman"/>
          <w:color w:val="000000" w:themeColor="text1"/>
          <w:sz w:val="28"/>
          <w:szCs w:val="28"/>
          <w:lang w:val="en-US" w:eastAsia="zh-CN"/>
        </w:rPr>
        <w:t>2020</w:t>
      </w:r>
      <w:r>
        <w:rPr>
          <w:rFonts w:hint="eastAsia" w:ascii="Times New Roman" w:hAnsi="宋体" w:eastAsia="宋体" w:cs="Times New Roman"/>
          <w:color w:val="000000" w:themeColor="text1"/>
          <w:sz w:val="28"/>
          <w:szCs w:val="28"/>
        </w:rPr>
        <w:t>-370403-</w:t>
      </w:r>
      <w:r>
        <w:rPr>
          <w:rFonts w:hint="eastAsia" w:ascii="Times New Roman" w:hAnsi="宋体" w:eastAsia="宋体" w:cs="Times New Roman"/>
          <w:color w:val="000000" w:themeColor="text1"/>
          <w:sz w:val="28"/>
          <w:szCs w:val="28"/>
          <w:lang w:val="en-US" w:eastAsia="zh-CN"/>
        </w:rPr>
        <w:t>25</w:t>
      </w:r>
      <w:r>
        <w:rPr>
          <w:rFonts w:hint="eastAsia" w:ascii="Times New Roman" w:hAnsi="宋体" w:eastAsia="宋体" w:cs="Times New Roman"/>
          <w:color w:val="000000" w:themeColor="text1"/>
          <w:sz w:val="28"/>
          <w:szCs w:val="28"/>
        </w:rPr>
        <w:t>-</w:t>
      </w:r>
      <w:r>
        <w:rPr>
          <w:rFonts w:hint="eastAsia" w:ascii="Times New Roman" w:hAnsi="宋体" w:eastAsia="宋体" w:cs="Times New Roman"/>
          <w:color w:val="000000" w:themeColor="text1"/>
          <w:sz w:val="28"/>
          <w:szCs w:val="28"/>
          <w:lang w:val="en-US" w:eastAsia="zh-CN"/>
        </w:rPr>
        <w:t>03</w:t>
      </w:r>
      <w:r>
        <w:rPr>
          <w:rFonts w:hint="eastAsia" w:ascii="Times New Roman" w:hAnsi="宋体" w:eastAsia="宋体" w:cs="Times New Roman"/>
          <w:color w:val="000000" w:themeColor="text1"/>
          <w:sz w:val="28"/>
          <w:szCs w:val="28"/>
        </w:rPr>
        <w:t>-</w:t>
      </w:r>
      <w:r>
        <w:rPr>
          <w:rFonts w:hint="eastAsia" w:ascii="Times New Roman" w:hAnsi="宋体" w:eastAsia="宋体" w:cs="Times New Roman"/>
          <w:color w:val="000000" w:themeColor="text1"/>
          <w:sz w:val="28"/>
          <w:szCs w:val="28"/>
          <w:lang w:val="en-US" w:eastAsia="zh-CN"/>
        </w:rPr>
        <w:t>072989</w:t>
      </w:r>
      <w:r>
        <w:rPr>
          <w:rFonts w:hint="eastAsia" w:ascii="Times New Roman" w:hAnsi="宋体" w:eastAsia="宋体" w:cs="Times New Roman"/>
          <w:color w:val="000000" w:themeColor="text1"/>
          <w:sz w:val="28"/>
          <w:szCs w:val="28"/>
        </w:rPr>
        <w:t>）。</w:t>
      </w:r>
    </w:p>
    <w:p>
      <w:pPr>
        <w:spacing w:after="0" w:line="360" w:lineRule="auto"/>
        <w:ind w:firstLine="482"/>
        <w:rPr>
          <w:rFonts w:ascii="Times New Roman" w:hAnsi="宋体" w:eastAsia="宋体" w:cs="Times New Roman"/>
          <w:color w:val="000000" w:themeColor="text1"/>
          <w:sz w:val="28"/>
          <w:szCs w:val="28"/>
        </w:rPr>
      </w:pPr>
      <w:r>
        <w:rPr>
          <w:rFonts w:ascii="Times New Roman" w:hAnsi="Times New Roman" w:eastAsia="宋体" w:cs="Times New Roman"/>
          <w:color w:val="000000" w:themeColor="text1"/>
          <w:sz w:val="28"/>
          <w:szCs w:val="28"/>
        </w:rPr>
        <w:t>20</w:t>
      </w:r>
      <w:r>
        <w:rPr>
          <w:rFonts w:hint="eastAsia" w:ascii="Times New Roman" w:hAnsi="Times New Roman" w:eastAsia="宋体" w:cs="Times New Roman"/>
          <w:color w:val="000000" w:themeColor="text1"/>
          <w:sz w:val="28"/>
          <w:szCs w:val="28"/>
        </w:rPr>
        <w:t>2</w:t>
      </w:r>
      <w:r>
        <w:rPr>
          <w:rFonts w:hint="eastAsia" w:ascii="Times New Roman" w:hAnsi="Times New Roman" w:eastAsia="宋体" w:cs="Times New Roman"/>
          <w:color w:val="000000" w:themeColor="text1"/>
          <w:sz w:val="28"/>
          <w:szCs w:val="28"/>
          <w:lang w:val="en-US" w:eastAsia="zh-CN"/>
        </w:rPr>
        <w:t>0</w:t>
      </w:r>
      <w:r>
        <w:rPr>
          <w:rFonts w:ascii="Times New Roman" w:hAnsi="宋体" w:eastAsia="宋体" w:cs="Times New Roman"/>
          <w:color w:val="000000" w:themeColor="text1"/>
          <w:sz w:val="28"/>
          <w:szCs w:val="28"/>
        </w:rPr>
        <w:t>年</w:t>
      </w:r>
      <w:r>
        <w:rPr>
          <w:rFonts w:hint="eastAsia" w:ascii="Times New Roman" w:hAnsi="Times New Roman" w:eastAsia="宋体" w:cs="Times New Roman"/>
          <w:color w:val="000000" w:themeColor="text1"/>
          <w:sz w:val="28"/>
          <w:szCs w:val="28"/>
        </w:rPr>
        <w:t>8</w:t>
      </w:r>
      <w:r>
        <w:rPr>
          <w:rFonts w:ascii="Times New Roman" w:hAnsi="宋体" w:eastAsia="宋体" w:cs="Times New Roman"/>
          <w:color w:val="000000" w:themeColor="text1"/>
          <w:sz w:val="28"/>
          <w:szCs w:val="28"/>
        </w:rPr>
        <w:t>月</w:t>
      </w:r>
      <w:r>
        <w:rPr>
          <w:rFonts w:hint="eastAsia" w:ascii="Times New Roman" w:hAnsi="宋体" w:eastAsia="宋体" w:cs="Times New Roman"/>
          <w:color w:val="000000" w:themeColor="text1"/>
          <w:sz w:val="28"/>
          <w:szCs w:val="28"/>
        </w:rPr>
        <w:t>委托</w:t>
      </w:r>
      <w:r>
        <w:rPr>
          <w:rFonts w:hint="eastAsia" w:ascii="Times New Roman" w:hAnsi="宋体" w:eastAsia="宋体" w:cs="Times New Roman"/>
          <w:color w:val="000000" w:themeColor="text1"/>
          <w:sz w:val="28"/>
          <w:szCs w:val="28"/>
          <w:lang w:eastAsia="zh-CN"/>
        </w:rPr>
        <w:t>湖北天奕工程咨询有限公司</w:t>
      </w:r>
      <w:r>
        <w:rPr>
          <w:rFonts w:ascii="Times New Roman" w:hAnsi="宋体" w:eastAsia="宋体" w:cs="Times New Roman"/>
          <w:color w:val="000000" w:themeColor="text1"/>
          <w:sz w:val="28"/>
          <w:szCs w:val="28"/>
        </w:rPr>
        <w:t>编制完成了</w:t>
      </w:r>
      <w:r>
        <w:rPr>
          <w:rFonts w:hint="eastAsia" w:ascii="Times New Roman" w:hAnsi="宋体" w:eastAsia="宋体" w:cs="Times New Roman"/>
          <w:color w:val="000000" w:themeColor="text1"/>
          <w:sz w:val="28"/>
          <w:szCs w:val="28"/>
        </w:rPr>
        <w:t>《山东潍焦集团薛城能源有限公司</w:t>
      </w:r>
      <w:r>
        <w:rPr>
          <w:rFonts w:hint="eastAsia" w:ascii="Times New Roman" w:hAnsi="宋体" w:eastAsia="宋体" w:cs="Times New Roman"/>
          <w:color w:val="000000" w:themeColor="text1"/>
          <w:sz w:val="28"/>
          <w:szCs w:val="28"/>
          <w:lang w:eastAsia="zh-CN"/>
        </w:rPr>
        <w:t>焦场封闭项目</w:t>
      </w:r>
      <w:r>
        <w:rPr>
          <w:rFonts w:hint="eastAsia" w:ascii="Times New Roman" w:hAnsi="宋体" w:eastAsia="宋体" w:cs="Times New Roman"/>
          <w:color w:val="000000" w:themeColor="text1"/>
          <w:sz w:val="28"/>
          <w:szCs w:val="28"/>
        </w:rPr>
        <w:t>可行性研究报告》，</w:t>
      </w:r>
      <w:r>
        <w:rPr>
          <w:rFonts w:ascii="Times New Roman" w:hAnsi="宋体" w:eastAsia="宋体" w:cs="Times New Roman"/>
          <w:color w:val="000000" w:themeColor="text1"/>
          <w:sz w:val="28"/>
          <w:szCs w:val="28"/>
        </w:rPr>
        <w:t>根据《中华人民共和国环境影响评价法》、《建设项目环境保护管理条例》和《建设项目环境影响评价分类管理名录》中有关规定，</w:t>
      </w:r>
      <w:r>
        <w:rPr>
          <w:rFonts w:hint="eastAsia" w:ascii="Times New Roman" w:hAnsi="宋体" w:eastAsia="宋体" w:cs="Times New Roman"/>
          <w:color w:val="000000" w:themeColor="text1"/>
          <w:sz w:val="28"/>
          <w:szCs w:val="28"/>
        </w:rPr>
        <w:t>公司于202</w:t>
      </w:r>
      <w:r>
        <w:rPr>
          <w:rFonts w:hint="eastAsia" w:ascii="Times New Roman" w:hAnsi="宋体" w:eastAsia="宋体" w:cs="Times New Roman"/>
          <w:color w:val="000000" w:themeColor="text1"/>
          <w:sz w:val="28"/>
          <w:szCs w:val="28"/>
          <w:lang w:val="en-US" w:eastAsia="zh-CN"/>
        </w:rPr>
        <w:t>0</w:t>
      </w:r>
      <w:r>
        <w:rPr>
          <w:rFonts w:hint="eastAsia" w:ascii="Times New Roman" w:hAnsi="宋体" w:eastAsia="宋体" w:cs="Times New Roman"/>
          <w:color w:val="000000" w:themeColor="text1"/>
          <w:sz w:val="28"/>
          <w:szCs w:val="28"/>
        </w:rPr>
        <w:t>年8月</w:t>
      </w:r>
      <w:r>
        <w:rPr>
          <w:rFonts w:hint="eastAsia" w:ascii="Times New Roman" w:hAnsi="宋体" w:eastAsia="宋体" w:cs="Times New Roman"/>
          <w:color w:val="000000" w:themeColor="text1"/>
          <w:sz w:val="28"/>
          <w:szCs w:val="28"/>
          <w:lang w:val="en-US" w:eastAsia="zh-CN"/>
        </w:rPr>
        <w:t>27</w:t>
      </w:r>
      <w:r>
        <w:rPr>
          <w:rFonts w:hint="eastAsia" w:ascii="Times New Roman" w:hAnsi="宋体" w:eastAsia="宋体" w:cs="Times New Roman"/>
          <w:color w:val="000000" w:themeColor="text1"/>
          <w:sz w:val="28"/>
          <w:szCs w:val="28"/>
        </w:rPr>
        <w:t>日对该项目环境影响登记表进行登记</w:t>
      </w:r>
      <w:r>
        <w:rPr>
          <w:rFonts w:hint="eastAsia" w:ascii="Times New Roman" w:hAnsi="宋体" w:eastAsia="宋体" w:cs="Times New Roman"/>
          <w:color w:val="000000" w:themeColor="text1"/>
          <w:sz w:val="28"/>
          <w:szCs w:val="28"/>
          <w:lang w:val="en-US" w:eastAsia="zh-CN"/>
        </w:rPr>
        <w:t>备案</w:t>
      </w:r>
      <w:r>
        <w:rPr>
          <w:rFonts w:hint="eastAsia" w:ascii="Times New Roman" w:hAnsi="宋体" w:eastAsia="宋体" w:cs="Times New Roman"/>
          <w:color w:val="000000" w:themeColor="text1"/>
          <w:sz w:val="28"/>
          <w:szCs w:val="28"/>
        </w:rPr>
        <w:t>，备案号为202</w:t>
      </w:r>
      <w:r>
        <w:rPr>
          <w:rFonts w:hint="eastAsia" w:ascii="Times New Roman" w:hAnsi="宋体" w:eastAsia="宋体" w:cs="Times New Roman"/>
          <w:color w:val="000000" w:themeColor="text1"/>
          <w:sz w:val="28"/>
          <w:szCs w:val="28"/>
          <w:lang w:val="en-US" w:eastAsia="zh-CN"/>
        </w:rPr>
        <w:t>0</w:t>
      </w:r>
      <w:r>
        <w:rPr>
          <w:rFonts w:hint="eastAsia" w:ascii="Times New Roman" w:hAnsi="宋体" w:eastAsia="宋体" w:cs="Times New Roman"/>
          <w:color w:val="000000" w:themeColor="text1"/>
          <w:sz w:val="28"/>
          <w:szCs w:val="28"/>
        </w:rPr>
        <w:t>370403000001</w:t>
      </w:r>
      <w:r>
        <w:rPr>
          <w:rFonts w:hint="eastAsia" w:ascii="Times New Roman" w:hAnsi="宋体" w:eastAsia="宋体" w:cs="Times New Roman"/>
          <w:color w:val="000000" w:themeColor="text1"/>
          <w:sz w:val="28"/>
          <w:szCs w:val="28"/>
          <w:lang w:val="en-US" w:eastAsia="zh-CN"/>
        </w:rPr>
        <w:t>0</w:t>
      </w:r>
      <w:r>
        <w:rPr>
          <w:rFonts w:hint="eastAsia" w:ascii="Times New Roman" w:hAnsi="宋体" w:eastAsia="宋体" w:cs="Times New Roman"/>
          <w:color w:val="000000" w:themeColor="text1"/>
          <w:sz w:val="28"/>
          <w:szCs w:val="28"/>
        </w:rPr>
        <w:t>3。</w:t>
      </w:r>
    </w:p>
    <w:p>
      <w:pPr>
        <w:spacing w:after="0" w:line="360" w:lineRule="auto"/>
        <w:ind w:firstLine="482"/>
        <w:jc w:val="both"/>
        <w:rPr>
          <w:rFonts w:hint="default" w:ascii="Times New Roman" w:hAnsi="宋体" w:eastAsia="宋体" w:cs="Times New Roman"/>
          <w:color w:val="000000" w:themeColor="text1"/>
          <w:sz w:val="28"/>
          <w:szCs w:val="28"/>
          <w:lang w:val="en-US" w:eastAsia="zh-CN"/>
        </w:rPr>
      </w:pPr>
      <w:r>
        <w:rPr>
          <w:rFonts w:hint="eastAsia" w:ascii="Times New Roman" w:hAnsi="宋体" w:eastAsia="宋体" w:cs="Times New Roman"/>
          <w:color w:val="000000" w:themeColor="text1"/>
          <w:sz w:val="28"/>
          <w:szCs w:val="28"/>
        </w:rPr>
        <w:t>本工程</w:t>
      </w:r>
      <w:r>
        <w:rPr>
          <w:rFonts w:ascii="Times New Roman" w:hAnsi="宋体" w:eastAsia="宋体" w:cs="Times New Roman"/>
          <w:color w:val="000000" w:themeColor="text1"/>
          <w:sz w:val="28"/>
          <w:szCs w:val="28"/>
        </w:rPr>
        <w:t>于</w:t>
      </w:r>
      <w:r>
        <w:rPr>
          <w:rFonts w:ascii="Times New Roman" w:hAnsi="Times New Roman" w:eastAsia="宋体" w:cs="Times New Roman"/>
          <w:color w:val="000000" w:themeColor="text1"/>
          <w:sz w:val="28"/>
          <w:szCs w:val="28"/>
        </w:rPr>
        <w:t>20</w:t>
      </w:r>
      <w:r>
        <w:rPr>
          <w:rFonts w:hint="eastAsia" w:ascii="Times New Roman" w:hAnsi="Times New Roman" w:eastAsia="宋体" w:cs="Times New Roman"/>
          <w:color w:val="000000" w:themeColor="text1"/>
          <w:sz w:val="28"/>
          <w:szCs w:val="28"/>
        </w:rPr>
        <w:t>2</w:t>
      </w:r>
      <w:r>
        <w:rPr>
          <w:rFonts w:hint="eastAsia" w:ascii="Times New Roman" w:hAnsi="Times New Roman" w:eastAsia="宋体" w:cs="Times New Roman"/>
          <w:color w:val="000000" w:themeColor="text1"/>
          <w:sz w:val="28"/>
          <w:szCs w:val="28"/>
          <w:lang w:val="en-US" w:eastAsia="zh-CN"/>
        </w:rPr>
        <w:t>0</w:t>
      </w:r>
      <w:r>
        <w:rPr>
          <w:rFonts w:ascii="Times New Roman" w:hAnsi="宋体" w:eastAsia="宋体" w:cs="Times New Roman"/>
          <w:color w:val="000000" w:themeColor="text1"/>
          <w:sz w:val="28"/>
          <w:szCs w:val="28"/>
        </w:rPr>
        <w:t>年</w:t>
      </w:r>
      <w:r>
        <w:rPr>
          <w:rFonts w:hint="eastAsia" w:ascii="Times New Roman" w:hAnsi="宋体" w:eastAsia="宋体" w:cs="Times New Roman"/>
          <w:color w:val="000000" w:themeColor="text1"/>
          <w:sz w:val="28"/>
          <w:szCs w:val="28"/>
        </w:rPr>
        <w:t>9</w:t>
      </w:r>
      <w:r>
        <w:rPr>
          <w:rFonts w:ascii="Times New Roman" w:hAnsi="宋体" w:eastAsia="宋体" w:cs="Times New Roman"/>
          <w:color w:val="000000" w:themeColor="text1"/>
          <w:sz w:val="28"/>
          <w:szCs w:val="28"/>
        </w:rPr>
        <w:t>月开工建设</w:t>
      </w:r>
      <w:r>
        <w:rPr>
          <w:rFonts w:hint="eastAsia" w:ascii="Times New Roman" w:hAnsi="宋体" w:eastAsia="宋体" w:cs="Times New Roman"/>
          <w:color w:val="000000" w:themeColor="text1"/>
          <w:sz w:val="28"/>
          <w:szCs w:val="28"/>
        </w:rPr>
        <w:t>，</w:t>
      </w:r>
      <w:r>
        <w:rPr>
          <w:rFonts w:hint="eastAsia" w:ascii="Times New Roman" w:hAnsi="宋体" w:eastAsia="宋体" w:cs="Times New Roman"/>
          <w:color w:val="000000" w:themeColor="text1"/>
          <w:sz w:val="28"/>
          <w:szCs w:val="28"/>
          <w:lang w:val="en-US" w:eastAsia="zh-CN"/>
        </w:rPr>
        <w:t>施工期间公司委托九冶建设有限公司和徐州市工业设备安装有限责任公司分别负责土建工程和焦棚钢结构网架工程委施工，并托</w:t>
      </w:r>
      <w:r>
        <w:rPr>
          <w:rFonts w:hint="eastAsia" w:ascii="Times New Roman" w:hAnsi="宋体" w:eastAsia="宋体" w:cs="Times New Roman"/>
          <w:color w:val="000000" w:themeColor="text1"/>
          <w:sz w:val="28"/>
          <w:szCs w:val="28"/>
        </w:rPr>
        <w:t>山东齐鲁城市建设管理有限公司</w:t>
      </w:r>
      <w:r>
        <w:rPr>
          <w:rFonts w:hint="eastAsia" w:ascii="Times New Roman" w:hAnsi="宋体" w:eastAsia="宋体" w:cs="Times New Roman"/>
          <w:color w:val="000000" w:themeColor="text1"/>
          <w:sz w:val="28"/>
          <w:szCs w:val="28"/>
          <w:lang w:val="en-US" w:eastAsia="zh-CN"/>
        </w:rPr>
        <w:t>开展施工监理工作。项目</w:t>
      </w:r>
      <w:r>
        <w:rPr>
          <w:rFonts w:hint="eastAsia" w:ascii="Times New Roman" w:hAnsi="宋体" w:eastAsia="宋体" w:cs="Times New Roman"/>
          <w:color w:val="000000" w:themeColor="text1"/>
          <w:sz w:val="28"/>
          <w:szCs w:val="28"/>
        </w:rPr>
        <w:t>于</w:t>
      </w:r>
      <w:r>
        <w:rPr>
          <w:rFonts w:ascii="Times New Roman" w:hAnsi="宋体" w:eastAsia="宋体" w:cs="Times New Roman"/>
          <w:color w:val="000000" w:themeColor="text1"/>
          <w:sz w:val="28"/>
          <w:szCs w:val="28"/>
          <w:highlight w:val="none"/>
        </w:rPr>
        <w:t xml:space="preserve"> 20</w:t>
      </w:r>
      <w:r>
        <w:rPr>
          <w:rFonts w:hint="eastAsia" w:ascii="Times New Roman" w:hAnsi="宋体" w:eastAsia="宋体" w:cs="Times New Roman"/>
          <w:color w:val="000000" w:themeColor="text1"/>
          <w:sz w:val="28"/>
          <w:szCs w:val="28"/>
          <w:highlight w:val="none"/>
        </w:rPr>
        <w:t>2</w:t>
      </w:r>
      <w:r>
        <w:rPr>
          <w:rFonts w:hint="eastAsia" w:ascii="Times New Roman" w:hAnsi="宋体" w:eastAsia="宋体" w:cs="Times New Roman"/>
          <w:color w:val="000000" w:themeColor="text1"/>
          <w:sz w:val="28"/>
          <w:szCs w:val="28"/>
          <w:highlight w:val="none"/>
          <w:lang w:val="en-US" w:eastAsia="zh-CN"/>
        </w:rPr>
        <w:t>1</w:t>
      </w:r>
      <w:r>
        <w:rPr>
          <w:rFonts w:ascii="Times New Roman" w:hAnsi="宋体" w:eastAsia="宋体" w:cs="Times New Roman"/>
          <w:color w:val="000000" w:themeColor="text1"/>
          <w:sz w:val="28"/>
          <w:szCs w:val="28"/>
          <w:highlight w:val="none"/>
        </w:rPr>
        <w:t>年</w:t>
      </w:r>
      <w:r>
        <w:rPr>
          <w:rFonts w:hint="eastAsia" w:ascii="Times New Roman" w:hAnsi="宋体" w:eastAsia="宋体" w:cs="Times New Roman"/>
          <w:color w:val="000000" w:themeColor="text1"/>
          <w:sz w:val="28"/>
          <w:szCs w:val="28"/>
          <w:highlight w:val="none"/>
          <w:lang w:val="en-US" w:eastAsia="zh-CN"/>
        </w:rPr>
        <w:t>9</w:t>
      </w:r>
      <w:r>
        <w:rPr>
          <w:rFonts w:ascii="Times New Roman" w:hAnsi="宋体" w:eastAsia="宋体" w:cs="Times New Roman"/>
          <w:color w:val="000000" w:themeColor="text1"/>
          <w:sz w:val="28"/>
          <w:szCs w:val="28"/>
          <w:highlight w:val="none"/>
        </w:rPr>
        <w:t>月建设完成，</w:t>
      </w:r>
      <w:r>
        <w:rPr>
          <w:rFonts w:hint="eastAsia" w:ascii="Times New Roman" w:hAnsi="宋体" w:eastAsia="宋体" w:cs="Times New Roman"/>
          <w:color w:val="000000" w:themeColor="text1"/>
          <w:sz w:val="28"/>
          <w:szCs w:val="28"/>
        </w:rPr>
        <w:t>并投入运行</w:t>
      </w:r>
      <w:r>
        <w:rPr>
          <w:rFonts w:ascii="Times New Roman" w:hAnsi="宋体" w:eastAsia="宋体" w:cs="Times New Roman"/>
          <w:color w:val="000000" w:themeColor="text1"/>
          <w:sz w:val="28"/>
          <w:szCs w:val="28"/>
        </w:rPr>
        <w:t>。</w:t>
      </w:r>
      <w:r>
        <w:rPr>
          <w:rFonts w:hint="eastAsia" w:ascii="Times New Roman" w:hAnsi="宋体" w:eastAsia="宋体" w:cs="Times New Roman"/>
          <w:color w:val="000000" w:themeColor="text1"/>
          <w:sz w:val="28"/>
          <w:szCs w:val="28"/>
          <w:lang w:val="en-US" w:eastAsia="zh-CN"/>
        </w:rPr>
        <w:t>公司已取得排污许可证，证书编号为913704007433598151001P。</w:t>
      </w:r>
    </w:p>
    <w:p>
      <w:pPr>
        <w:spacing w:after="0" w:line="360" w:lineRule="auto"/>
        <w:ind w:firstLine="560" w:firstLineChars="200"/>
        <w:jc w:val="both"/>
        <w:rPr>
          <w:rFonts w:ascii="Times New Roman" w:hAnsi="Times New Roman" w:eastAsia="宋体" w:cs="Times New Roman"/>
          <w:color w:val="000000" w:themeColor="text1"/>
          <w:sz w:val="28"/>
          <w:szCs w:val="28"/>
          <w:shd w:val="clear" w:color="FFFFFF" w:fill="D9D9D9"/>
        </w:rPr>
      </w:pPr>
      <w:r>
        <w:rPr>
          <w:rFonts w:ascii="Times New Roman" w:hAnsi="Times New Roman" w:eastAsia="宋体" w:cs="Times New Roman"/>
          <w:color w:val="000000" w:themeColor="text1"/>
          <w:sz w:val="28"/>
          <w:szCs w:val="28"/>
        </w:rPr>
        <w:t>20</w:t>
      </w:r>
      <w:r>
        <w:rPr>
          <w:rFonts w:hint="eastAsia" w:ascii="Times New Roman" w:hAnsi="Times New Roman" w:eastAsia="宋体" w:cs="Times New Roman"/>
          <w:color w:val="000000" w:themeColor="text1"/>
          <w:sz w:val="28"/>
          <w:szCs w:val="28"/>
        </w:rPr>
        <w:t>22</w:t>
      </w:r>
      <w:r>
        <w:rPr>
          <w:rFonts w:ascii="Times New Roman" w:hAnsi="宋体" w:eastAsia="宋体" w:cs="Times New Roman"/>
          <w:color w:val="000000" w:themeColor="text1"/>
          <w:sz w:val="28"/>
          <w:szCs w:val="28"/>
        </w:rPr>
        <w:t>年</w:t>
      </w:r>
      <w:r>
        <w:rPr>
          <w:rFonts w:hint="eastAsia" w:ascii="Times New Roman" w:hAnsi="Times New Roman" w:eastAsia="宋体" w:cs="Times New Roman"/>
          <w:color w:val="000000" w:themeColor="text1"/>
          <w:sz w:val="28"/>
          <w:szCs w:val="28"/>
          <w:lang w:val="en-US" w:eastAsia="zh-CN"/>
        </w:rPr>
        <w:t>7</w:t>
      </w:r>
      <w:r>
        <w:rPr>
          <w:rFonts w:ascii="Times New Roman" w:hAnsi="宋体" w:eastAsia="宋体" w:cs="Times New Roman"/>
          <w:color w:val="000000" w:themeColor="text1"/>
          <w:sz w:val="28"/>
          <w:szCs w:val="28"/>
        </w:rPr>
        <w:t>月，各</w:t>
      </w:r>
      <w:r>
        <w:rPr>
          <w:rFonts w:hint="eastAsia" w:ascii="Times New Roman" w:hAnsi="宋体" w:eastAsia="宋体" w:cs="Times New Roman"/>
          <w:color w:val="000000" w:themeColor="text1"/>
          <w:sz w:val="28"/>
          <w:szCs w:val="28"/>
        </w:rPr>
        <w:t>治理设施</w:t>
      </w:r>
      <w:r>
        <w:rPr>
          <w:rFonts w:ascii="Times New Roman" w:hAnsi="宋体" w:eastAsia="宋体" w:cs="Times New Roman"/>
          <w:color w:val="000000" w:themeColor="text1"/>
          <w:sz w:val="28"/>
          <w:szCs w:val="28"/>
        </w:rPr>
        <w:t>运行正常，达到环保验收相关要求，公司启动验收程序。</w:t>
      </w:r>
      <w:r>
        <w:rPr>
          <w:rFonts w:ascii="Times New Roman" w:hAnsi="Times New Roman" w:eastAsia="宋体" w:cs="Times New Roman"/>
          <w:color w:val="000000" w:themeColor="text1"/>
          <w:sz w:val="28"/>
          <w:szCs w:val="28"/>
        </w:rPr>
        <w:t>20</w:t>
      </w:r>
      <w:r>
        <w:rPr>
          <w:rFonts w:hint="eastAsia" w:ascii="Times New Roman" w:hAnsi="Times New Roman" w:eastAsia="宋体" w:cs="Times New Roman"/>
          <w:color w:val="000000" w:themeColor="text1"/>
          <w:sz w:val="28"/>
          <w:szCs w:val="28"/>
        </w:rPr>
        <w:t>22</w:t>
      </w:r>
      <w:r>
        <w:rPr>
          <w:rFonts w:ascii="Times New Roman" w:hAnsi="宋体" w:eastAsia="宋体" w:cs="Times New Roman"/>
          <w:color w:val="000000" w:themeColor="text1"/>
          <w:sz w:val="28"/>
          <w:szCs w:val="28"/>
        </w:rPr>
        <w:t>年</w:t>
      </w:r>
      <w:r>
        <w:rPr>
          <w:rFonts w:hint="eastAsia" w:ascii="Times New Roman" w:hAnsi="Times New Roman" w:eastAsia="宋体" w:cs="Times New Roman"/>
          <w:color w:val="000000" w:themeColor="text1"/>
          <w:sz w:val="28"/>
          <w:szCs w:val="28"/>
          <w:lang w:val="en-US" w:eastAsia="zh-CN"/>
        </w:rPr>
        <w:t>7</w:t>
      </w:r>
      <w:r>
        <w:rPr>
          <w:rFonts w:ascii="Times New Roman" w:hAnsi="宋体" w:eastAsia="宋体" w:cs="Times New Roman"/>
          <w:color w:val="000000" w:themeColor="text1"/>
          <w:sz w:val="28"/>
          <w:szCs w:val="28"/>
        </w:rPr>
        <w:t>月</w:t>
      </w:r>
      <w:r>
        <w:rPr>
          <w:rFonts w:hint="eastAsia" w:ascii="Times New Roman" w:hAnsi="宋体" w:eastAsia="宋体" w:cs="Times New Roman"/>
          <w:color w:val="000000" w:themeColor="text1"/>
          <w:sz w:val="28"/>
          <w:szCs w:val="28"/>
        </w:rPr>
        <w:t>2</w:t>
      </w:r>
      <w:r>
        <w:rPr>
          <w:rFonts w:hint="eastAsia" w:ascii="Times New Roman" w:hAnsi="Times New Roman" w:eastAsia="宋体" w:cs="Times New Roman"/>
          <w:color w:val="000000" w:themeColor="text1"/>
          <w:sz w:val="28"/>
          <w:szCs w:val="28"/>
          <w:lang w:val="en-US" w:eastAsia="zh-CN"/>
        </w:rPr>
        <w:t>2</w:t>
      </w:r>
      <w:r>
        <w:rPr>
          <w:rFonts w:ascii="Times New Roman" w:hAnsi="宋体" w:eastAsia="宋体" w:cs="Times New Roman"/>
          <w:color w:val="000000" w:themeColor="text1"/>
          <w:sz w:val="28"/>
          <w:szCs w:val="28"/>
        </w:rPr>
        <w:t>日公司</w:t>
      </w:r>
      <w:r>
        <w:rPr>
          <w:rFonts w:ascii="Times New Roman" w:hAnsi="宋体" w:eastAsia="宋体" w:cs="Times New Roman"/>
          <w:snapToGrid w:val="0"/>
          <w:color w:val="000000" w:themeColor="text1"/>
          <w:sz w:val="28"/>
          <w:szCs w:val="28"/>
        </w:rPr>
        <w:t>委托</w:t>
      </w:r>
      <w:r>
        <w:rPr>
          <w:rFonts w:hint="eastAsia" w:ascii="Times New Roman" w:hAnsi="宋体" w:eastAsia="宋体" w:cs="Times New Roman"/>
          <w:color w:val="000000" w:themeColor="text1"/>
          <w:sz w:val="28"/>
          <w:szCs w:val="28"/>
          <w:lang w:eastAsia="zh-CN"/>
        </w:rPr>
        <w:t>山东宜维检测有限公司</w:t>
      </w:r>
      <w:r>
        <w:rPr>
          <w:rFonts w:ascii="Times New Roman" w:hAnsi="宋体" w:eastAsia="宋体" w:cs="Times New Roman"/>
          <w:color w:val="000000" w:themeColor="text1"/>
          <w:sz w:val="28"/>
          <w:szCs w:val="28"/>
        </w:rPr>
        <w:t>承担本项目的竣工环境保护验收检测工作。</w:t>
      </w:r>
    </w:p>
    <w:p>
      <w:pPr>
        <w:spacing w:after="0" w:line="360" w:lineRule="auto"/>
        <w:ind w:firstLine="482"/>
        <w:jc w:val="both"/>
        <w:rPr>
          <w:rFonts w:ascii="Times New Roman" w:hAnsi="Times New Roman" w:eastAsia="宋体" w:cs="Times New Roman"/>
          <w:color w:val="000000" w:themeColor="text1"/>
          <w:sz w:val="28"/>
          <w:szCs w:val="28"/>
        </w:rPr>
      </w:pPr>
      <w:r>
        <w:rPr>
          <w:rFonts w:hint="eastAsia" w:ascii="Times New Roman" w:hAnsi="Times New Roman" w:eastAsia="宋体" w:cs="Times New Roman"/>
          <w:color w:val="000000" w:themeColor="text1"/>
          <w:sz w:val="28"/>
          <w:szCs w:val="28"/>
        </w:rPr>
        <w:t>2021</w:t>
      </w:r>
      <w:r>
        <w:rPr>
          <w:rFonts w:ascii="Times New Roman" w:hAnsi="宋体" w:eastAsia="宋体" w:cs="Times New Roman"/>
          <w:color w:val="000000" w:themeColor="text1"/>
          <w:sz w:val="28"/>
          <w:szCs w:val="28"/>
        </w:rPr>
        <w:t>年</w:t>
      </w:r>
      <w:r>
        <w:rPr>
          <w:rFonts w:hint="eastAsia" w:ascii="Times New Roman" w:hAnsi="Times New Roman" w:eastAsia="宋体" w:cs="Times New Roman"/>
          <w:color w:val="000000" w:themeColor="text1"/>
          <w:sz w:val="28"/>
          <w:szCs w:val="28"/>
          <w:lang w:val="en-US" w:eastAsia="zh-CN"/>
        </w:rPr>
        <w:t>7</w:t>
      </w:r>
      <w:r>
        <w:rPr>
          <w:rFonts w:ascii="Times New Roman" w:hAnsi="宋体" w:eastAsia="宋体" w:cs="Times New Roman"/>
          <w:color w:val="000000" w:themeColor="text1"/>
          <w:sz w:val="28"/>
          <w:szCs w:val="28"/>
        </w:rPr>
        <w:t>月</w:t>
      </w:r>
      <w:r>
        <w:rPr>
          <w:rFonts w:hint="eastAsia" w:ascii="Times New Roman" w:hAnsi="Times New Roman" w:eastAsia="宋体" w:cs="Times New Roman"/>
          <w:color w:val="000000" w:themeColor="text1"/>
          <w:sz w:val="28"/>
          <w:szCs w:val="28"/>
        </w:rPr>
        <w:t>2</w:t>
      </w:r>
      <w:r>
        <w:rPr>
          <w:rFonts w:hint="eastAsia" w:ascii="Times New Roman" w:hAnsi="Times New Roman" w:eastAsia="宋体" w:cs="Times New Roman"/>
          <w:color w:val="000000" w:themeColor="text1"/>
          <w:sz w:val="28"/>
          <w:szCs w:val="28"/>
          <w:lang w:val="en-US" w:eastAsia="zh-CN"/>
        </w:rPr>
        <w:t>2</w:t>
      </w:r>
      <w:r>
        <w:rPr>
          <w:rFonts w:ascii="Times New Roman" w:hAnsi="宋体" w:eastAsia="宋体" w:cs="Times New Roman"/>
          <w:color w:val="000000" w:themeColor="text1"/>
          <w:sz w:val="28"/>
          <w:szCs w:val="28"/>
        </w:rPr>
        <w:t>日</w:t>
      </w:r>
      <w:r>
        <w:rPr>
          <w:rFonts w:hint="eastAsia" w:ascii="Times New Roman" w:hAnsi="宋体" w:eastAsia="宋体" w:cs="Times New Roman"/>
          <w:color w:val="000000" w:themeColor="text1"/>
          <w:sz w:val="28"/>
          <w:szCs w:val="28"/>
          <w:lang w:eastAsia="zh-CN"/>
        </w:rPr>
        <w:t>山东宜维检测有限公司</w:t>
      </w:r>
      <w:r>
        <w:rPr>
          <w:rFonts w:ascii="Times New Roman" w:hAnsi="宋体" w:eastAsia="宋体" w:cs="Times New Roman"/>
          <w:color w:val="000000" w:themeColor="text1"/>
          <w:spacing w:val="4"/>
          <w:sz w:val="28"/>
          <w:szCs w:val="28"/>
        </w:rPr>
        <w:t>技术人员核查了项目有关文件及技术资料，检查了相应污染物治理及排放环保措施的落实情况，</w:t>
      </w:r>
      <w:r>
        <w:rPr>
          <w:rFonts w:ascii="Times New Roman" w:hAnsi="宋体" w:eastAsia="宋体" w:cs="Times New Roman"/>
          <w:color w:val="000000" w:themeColor="text1"/>
          <w:sz w:val="28"/>
          <w:szCs w:val="28"/>
        </w:rPr>
        <w:t>在此基础上编制完成了《</w:t>
      </w:r>
      <w:r>
        <w:rPr>
          <w:rFonts w:hint="eastAsia" w:ascii="Times New Roman" w:hAnsi="宋体" w:eastAsia="宋体" w:cs="Times New Roman"/>
          <w:color w:val="000000" w:themeColor="text1"/>
          <w:sz w:val="28"/>
          <w:szCs w:val="28"/>
        </w:rPr>
        <w:t>山东潍焦集团薛城能源有限公司</w:t>
      </w:r>
      <w:r>
        <w:rPr>
          <w:rFonts w:hint="eastAsia" w:ascii="Times New Roman" w:hAnsi="宋体" w:eastAsia="宋体" w:cs="Times New Roman"/>
          <w:color w:val="000000" w:themeColor="text1"/>
          <w:sz w:val="28"/>
          <w:szCs w:val="28"/>
          <w:lang w:eastAsia="zh-CN"/>
        </w:rPr>
        <w:t>焦场封闭项目</w:t>
      </w:r>
      <w:r>
        <w:rPr>
          <w:rFonts w:ascii="Times New Roman" w:hAnsi="宋体" w:eastAsia="宋体" w:cs="Times New Roman"/>
          <w:color w:val="000000" w:themeColor="text1"/>
          <w:sz w:val="28"/>
          <w:szCs w:val="28"/>
        </w:rPr>
        <w:t>竣工环境保护验收检测方案》。</w:t>
      </w:r>
    </w:p>
    <w:p>
      <w:pPr>
        <w:spacing w:after="0" w:line="360" w:lineRule="auto"/>
        <w:ind w:firstLine="560" w:firstLineChars="200"/>
        <w:jc w:val="both"/>
        <w:rPr>
          <w:rFonts w:ascii="Times New Roman" w:hAnsi="宋体" w:eastAsia="宋体" w:cs="Times New Roman"/>
          <w:color w:val="000000" w:themeColor="text1"/>
          <w:sz w:val="28"/>
          <w:szCs w:val="28"/>
        </w:rPr>
        <w:sectPr>
          <w:pgSz w:w="11906" w:h="16838"/>
          <w:pgMar w:top="1660" w:right="1440" w:bottom="1440" w:left="144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ascii="Times New Roman" w:hAnsi="宋体" w:eastAsia="宋体" w:cs="Times New Roman"/>
          <w:color w:val="000000" w:themeColor="text1"/>
          <w:sz w:val="28"/>
          <w:szCs w:val="28"/>
        </w:rPr>
        <w:t>根据《建设项目竣工环境保护验收技术指南</w:t>
      </w:r>
      <w:r>
        <w:rPr>
          <w:rFonts w:ascii="Times New Roman" w:hAnsi="Times New Roman" w:eastAsia="宋体" w:cs="Times New Roman"/>
          <w:color w:val="000000" w:themeColor="text1"/>
          <w:sz w:val="28"/>
          <w:szCs w:val="28"/>
        </w:rPr>
        <w:t xml:space="preserve"> </w:t>
      </w:r>
      <w:r>
        <w:rPr>
          <w:rFonts w:ascii="Times New Roman" w:hAnsi="宋体" w:eastAsia="宋体" w:cs="Times New Roman"/>
          <w:color w:val="000000" w:themeColor="text1"/>
          <w:sz w:val="28"/>
          <w:szCs w:val="28"/>
        </w:rPr>
        <w:t>污染影响类》、《建设项目竣工环境保护验收暂行办法》（国环规环评</w:t>
      </w:r>
      <w:r>
        <w:rPr>
          <w:rFonts w:ascii="Times New Roman" w:hAnsi="Times New Roman" w:eastAsia="宋体" w:cs="Times New Roman"/>
          <w:color w:val="000000" w:themeColor="text1"/>
          <w:sz w:val="28"/>
          <w:szCs w:val="28"/>
        </w:rPr>
        <w:t>[2017]4</w:t>
      </w:r>
      <w:r>
        <w:rPr>
          <w:rFonts w:ascii="Times New Roman" w:hAnsi="宋体" w:eastAsia="宋体" w:cs="Times New Roman"/>
          <w:color w:val="000000" w:themeColor="text1"/>
          <w:sz w:val="28"/>
          <w:szCs w:val="28"/>
        </w:rPr>
        <w:t>号）的规定和要求，</w:t>
      </w:r>
      <w:r>
        <w:rPr>
          <w:rFonts w:ascii="Times New Roman" w:hAnsi="Times New Roman" w:eastAsia="宋体" w:cs="Times New Roman"/>
          <w:color w:val="000000" w:themeColor="text1"/>
          <w:sz w:val="28"/>
          <w:szCs w:val="28"/>
        </w:rPr>
        <w:t>20</w:t>
      </w:r>
      <w:r>
        <w:rPr>
          <w:rFonts w:hint="eastAsia" w:ascii="Times New Roman" w:hAnsi="Times New Roman" w:eastAsia="宋体" w:cs="Times New Roman"/>
          <w:color w:val="000000" w:themeColor="text1"/>
          <w:sz w:val="28"/>
          <w:szCs w:val="28"/>
        </w:rPr>
        <w:t>22</w:t>
      </w:r>
      <w:r>
        <w:rPr>
          <w:rFonts w:ascii="Times New Roman" w:hAnsi="宋体" w:eastAsia="宋体" w:cs="Times New Roman"/>
          <w:color w:val="000000" w:themeColor="text1"/>
          <w:sz w:val="28"/>
          <w:szCs w:val="28"/>
        </w:rPr>
        <w:t>年</w:t>
      </w:r>
      <w:r>
        <w:rPr>
          <w:rFonts w:hint="eastAsia" w:ascii="Times New Roman" w:hAnsi="Times New Roman" w:eastAsia="宋体" w:cs="Times New Roman"/>
          <w:color w:val="000000" w:themeColor="text1"/>
          <w:sz w:val="28"/>
          <w:szCs w:val="28"/>
          <w:lang w:val="en-US" w:eastAsia="zh-CN"/>
        </w:rPr>
        <w:t>7</w:t>
      </w:r>
      <w:r>
        <w:rPr>
          <w:rFonts w:hint="eastAsia" w:ascii="Times New Roman" w:hAnsi="宋体" w:eastAsia="宋体" w:cs="Times New Roman"/>
          <w:color w:val="000000" w:themeColor="text1"/>
          <w:sz w:val="28"/>
          <w:szCs w:val="28"/>
        </w:rPr>
        <w:t>月</w:t>
      </w:r>
      <w:r>
        <w:rPr>
          <w:rFonts w:hint="eastAsia" w:ascii="Times New Roman" w:hAnsi="宋体" w:eastAsia="宋体" w:cs="Times New Roman"/>
          <w:color w:val="000000" w:themeColor="text1"/>
          <w:sz w:val="28"/>
          <w:szCs w:val="28"/>
          <w:lang w:val="en-US" w:eastAsia="zh-CN"/>
        </w:rPr>
        <w:t>26</w:t>
      </w:r>
      <w:r>
        <w:rPr>
          <w:rFonts w:ascii="Times New Roman" w:hAnsi="宋体" w:eastAsia="宋体" w:cs="Times New Roman"/>
          <w:color w:val="000000" w:themeColor="text1"/>
          <w:sz w:val="28"/>
          <w:szCs w:val="28"/>
        </w:rPr>
        <w:t>日~</w:t>
      </w:r>
      <w:r>
        <w:rPr>
          <w:rFonts w:hint="eastAsia" w:ascii="Times New Roman" w:hAnsi="宋体" w:eastAsia="宋体" w:cs="Times New Roman"/>
          <w:color w:val="000000" w:themeColor="text1"/>
          <w:sz w:val="28"/>
          <w:szCs w:val="28"/>
          <w:lang w:val="en-US" w:eastAsia="zh-CN"/>
        </w:rPr>
        <w:t>27</w:t>
      </w:r>
      <w:r>
        <w:rPr>
          <w:rFonts w:ascii="Times New Roman" w:hAnsi="宋体" w:eastAsia="宋体" w:cs="Times New Roman"/>
          <w:color w:val="000000" w:themeColor="text1"/>
          <w:sz w:val="28"/>
          <w:szCs w:val="28"/>
        </w:rPr>
        <w:t>日</w:t>
      </w:r>
      <w:r>
        <w:rPr>
          <w:rFonts w:hint="eastAsia" w:ascii="Times New Roman" w:hAnsi="宋体" w:eastAsia="宋体" w:cs="Times New Roman"/>
          <w:color w:val="000000" w:themeColor="text1"/>
          <w:sz w:val="28"/>
          <w:szCs w:val="28"/>
          <w:lang w:eastAsia="zh-CN"/>
        </w:rPr>
        <w:t>山东宜维检测有限公司</w:t>
      </w:r>
      <w:r>
        <w:rPr>
          <w:rFonts w:ascii="Times New Roman" w:hAnsi="宋体" w:eastAsia="宋体" w:cs="Times New Roman"/>
          <w:color w:val="000000" w:themeColor="text1"/>
          <w:sz w:val="28"/>
          <w:szCs w:val="28"/>
        </w:rPr>
        <w:t>对该项目进行了现场验收检测，并出具了《</w:t>
      </w:r>
      <w:r>
        <w:rPr>
          <w:rFonts w:hint="eastAsia" w:ascii="Times New Roman" w:hAnsi="宋体" w:eastAsia="宋体" w:cs="Times New Roman"/>
          <w:color w:val="000000" w:themeColor="text1"/>
          <w:sz w:val="28"/>
          <w:szCs w:val="28"/>
        </w:rPr>
        <w:t>山东潍焦集团薛城能源有限公司</w:t>
      </w:r>
      <w:r>
        <w:rPr>
          <w:rFonts w:hint="eastAsia" w:ascii="Times New Roman" w:hAnsi="宋体" w:eastAsia="宋体" w:cs="Times New Roman"/>
          <w:color w:val="000000" w:themeColor="text1"/>
          <w:sz w:val="28"/>
          <w:szCs w:val="28"/>
          <w:lang w:eastAsia="zh-CN"/>
        </w:rPr>
        <w:t>焦场封闭项目</w:t>
      </w:r>
      <w:r>
        <w:rPr>
          <w:rFonts w:ascii="Times New Roman" w:hAnsi="宋体" w:eastAsia="宋体" w:cs="Times New Roman"/>
          <w:color w:val="000000" w:themeColor="text1"/>
          <w:sz w:val="28"/>
          <w:szCs w:val="28"/>
        </w:rPr>
        <w:t>检测报告》</w:t>
      </w:r>
      <w:r>
        <w:rPr>
          <w:rFonts w:hint="eastAsia" w:ascii="Times New Roman" w:hAnsi="宋体" w:eastAsia="宋体" w:cs="Times New Roman"/>
          <w:color w:val="000000" w:themeColor="text1"/>
          <w:sz w:val="28"/>
          <w:szCs w:val="28"/>
        </w:rPr>
        <w:t>（</w:t>
      </w:r>
      <w:r>
        <w:rPr>
          <w:rFonts w:hint="eastAsia" w:ascii="Times New Roman" w:hAnsi="宋体" w:eastAsia="宋体" w:cs="Times New Roman"/>
          <w:color w:val="000000" w:themeColor="text1"/>
          <w:sz w:val="28"/>
          <w:szCs w:val="28"/>
          <w:lang w:eastAsia="zh-CN"/>
        </w:rPr>
        <w:t>HJYS（2022）0726001</w:t>
      </w:r>
      <w:r>
        <w:rPr>
          <w:rFonts w:hint="eastAsia" w:ascii="Times New Roman" w:hAnsi="宋体" w:eastAsia="宋体" w:cs="Times New Roman"/>
          <w:color w:val="000000" w:themeColor="text1"/>
          <w:sz w:val="28"/>
          <w:szCs w:val="28"/>
        </w:rPr>
        <w:t>）</w:t>
      </w:r>
      <w:r>
        <w:rPr>
          <w:rFonts w:ascii="Times New Roman" w:hAnsi="宋体" w:eastAsia="宋体" w:cs="Times New Roman"/>
          <w:color w:val="000000" w:themeColor="text1"/>
          <w:sz w:val="28"/>
          <w:szCs w:val="28"/>
        </w:rPr>
        <w:t>，我公司根据项目验收检测报告结果和现场情况进行整理和总结，编制完成了《</w:t>
      </w:r>
      <w:r>
        <w:rPr>
          <w:rFonts w:hint="eastAsia" w:ascii="Times New Roman" w:hAnsi="宋体" w:eastAsia="宋体" w:cs="Times New Roman"/>
          <w:color w:val="000000" w:themeColor="text1"/>
          <w:sz w:val="28"/>
          <w:szCs w:val="28"/>
        </w:rPr>
        <w:t>山东潍焦集团薛城能源有限公司</w:t>
      </w:r>
      <w:r>
        <w:rPr>
          <w:rFonts w:hint="eastAsia" w:ascii="Times New Roman" w:hAnsi="宋体" w:eastAsia="宋体" w:cs="Times New Roman"/>
          <w:color w:val="000000" w:themeColor="text1"/>
          <w:sz w:val="28"/>
          <w:szCs w:val="28"/>
          <w:lang w:eastAsia="zh-CN"/>
        </w:rPr>
        <w:t>焦场封闭项目</w:t>
      </w:r>
      <w:r>
        <w:rPr>
          <w:rFonts w:ascii="Times New Roman" w:hAnsi="宋体" w:eastAsia="宋体" w:cs="Times New Roman"/>
          <w:color w:val="000000" w:themeColor="text1"/>
          <w:sz w:val="28"/>
          <w:szCs w:val="28"/>
        </w:rPr>
        <w:t>竣工环境保护验收</w:t>
      </w:r>
      <w:r>
        <w:rPr>
          <w:rFonts w:hint="eastAsia" w:ascii="Times New Roman" w:hAnsi="宋体" w:eastAsia="宋体" w:cs="Times New Roman"/>
          <w:color w:val="000000" w:themeColor="text1"/>
          <w:sz w:val="28"/>
          <w:szCs w:val="28"/>
          <w:lang w:val="en-US" w:eastAsia="zh-CN"/>
        </w:rPr>
        <w:t>监测</w:t>
      </w:r>
      <w:r>
        <w:rPr>
          <w:rFonts w:ascii="Times New Roman" w:hAnsi="宋体" w:eastAsia="宋体" w:cs="Times New Roman"/>
          <w:color w:val="000000" w:themeColor="text1"/>
          <w:sz w:val="28"/>
          <w:szCs w:val="28"/>
        </w:rPr>
        <w:t>报告</w:t>
      </w:r>
      <w:r>
        <w:rPr>
          <w:rFonts w:hint="eastAsia" w:ascii="Times New Roman" w:hAnsi="宋体" w:eastAsia="宋体" w:cs="Times New Roman"/>
          <w:color w:val="000000" w:themeColor="text1"/>
          <w:sz w:val="28"/>
          <w:szCs w:val="28"/>
          <w:lang w:val="en-US" w:eastAsia="zh-CN"/>
        </w:rPr>
        <w:t>表</w:t>
      </w:r>
      <w:r>
        <w:rPr>
          <w:rFonts w:ascii="Times New Roman" w:hAnsi="宋体" w:eastAsia="宋体" w:cs="Times New Roman"/>
          <w:color w:val="000000" w:themeColor="text1"/>
          <w:sz w:val="28"/>
          <w:szCs w:val="28"/>
        </w:rPr>
        <w:t>》。</w:t>
      </w:r>
    </w:p>
    <w:p>
      <w:pPr>
        <w:adjustRightInd/>
        <w:snapToGrid/>
        <w:spacing w:line="220" w:lineRule="atLeast"/>
        <w:rPr>
          <w:b/>
          <w:bCs/>
          <w:color w:val="FF0000"/>
          <w:kern w:val="44"/>
          <w:sz w:val="44"/>
          <w:szCs w:val="44"/>
        </w:rPr>
      </w:pPr>
    </w:p>
    <w:p>
      <w:pPr>
        <w:pStyle w:val="8"/>
        <w:spacing w:line="360" w:lineRule="auto"/>
        <w:jc w:val="center"/>
        <w:rPr>
          <w:color w:val="000000" w:themeColor="text1"/>
        </w:rPr>
      </w:pPr>
      <w:bookmarkStart w:id="1" w:name="_Toc4009299"/>
      <w:r>
        <w:rPr>
          <w:rFonts w:hint="eastAsia"/>
          <w:color w:val="000000" w:themeColor="text1"/>
        </w:rPr>
        <w:t>目  录</w:t>
      </w:r>
      <w:bookmarkEnd w:id="1"/>
    </w:p>
    <w:p>
      <w:pPr>
        <w:pStyle w:val="17"/>
        <w:rPr>
          <w:rFonts w:asciiTheme="minorHAnsi" w:hAnsiTheme="minorHAnsi"/>
          <w:b w:val="0"/>
          <w:color w:val="000000" w:themeColor="text1"/>
          <w:sz w:val="21"/>
          <w:highlight w:val="none"/>
        </w:rPr>
      </w:pPr>
      <w:r>
        <w:rPr>
          <w:color w:val="000000" w:themeColor="text1"/>
        </w:rPr>
        <w:fldChar w:fldCharType="begin"/>
      </w:r>
      <w:r>
        <w:rPr>
          <w:color w:val="000000" w:themeColor="text1"/>
        </w:rPr>
        <w:instrText xml:space="preserve"> TOC \o "1-2" \h \z \u </w:instrText>
      </w:r>
      <w:r>
        <w:rPr>
          <w:color w:val="000000" w:themeColor="text1"/>
        </w:rPr>
        <w:fldChar w:fldCharType="separate"/>
      </w:r>
      <w:r>
        <w:rPr>
          <w:color w:val="000000" w:themeColor="text1"/>
          <w:highlight w:val="none"/>
        </w:rPr>
        <w:fldChar w:fldCharType="begin"/>
      </w:r>
      <w:r>
        <w:rPr>
          <w:color w:val="000000" w:themeColor="text1"/>
          <w:highlight w:val="none"/>
        </w:rPr>
        <w:instrText xml:space="preserve"> HYPERLINK \l "_Toc4009298" </w:instrText>
      </w:r>
      <w:r>
        <w:rPr>
          <w:color w:val="000000" w:themeColor="text1"/>
          <w:highlight w:val="none"/>
        </w:rPr>
        <w:fldChar w:fldCharType="separate"/>
      </w:r>
      <w:r>
        <w:rPr>
          <w:rStyle w:val="27"/>
          <w:rFonts w:hint="eastAsia"/>
          <w:color w:val="000000" w:themeColor="text1"/>
          <w:highlight w:val="none"/>
        </w:rPr>
        <w:t>前</w:t>
      </w:r>
      <w:r>
        <w:rPr>
          <w:rStyle w:val="27"/>
          <w:color w:val="000000" w:themeColor="text1"/>
          <w:highlight w:val="none"/>
        </w:rPr>
        <w:t xml:space="preserve">  </w:t>
      </w:r>
      <w:r>
        <w:rPr>
          <w:rStyle w:val="27"/>
          <w:rFonts w:hint="eastAsia"/>
          <w:color w:val="000000" w:themeColor="text1"/>
          <w:highlight w:val="none"/>
        </w:rPr>
        <w:t>言</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_Toc4009298 \h </w:instrText>
      </w:r>
      <w:r>
        <w:rPr>
          <w:color w:val="000000" w:themeColor="text1"/>
          <w:highlight w:val="none"/>
        </w:rPr>
        <w:fldChar w:fldCharType="separate"/>
      </w:r>
      <w:r>
        <w:rPr>
          <w:color w:val="000000" w:themeColor="text1"/>
          <w:highlight w:val="none"/>
        </w:rPr>
        <w:t>I</w:t>
      </w:r>
      <w:r>
        <w:rPr>
          <w:color w:val="000000" w:themeColor="text1"/>
          <w:highlight w:val="none"/>
        </w:rPr>
        <w:fldChar w:fldCharType="end"/>
      </w:r>
      <w:r>
        <w:rPr>
          <w:color w:val="000000" w:themeColor="text1"/>
          <w:highlight w:val="none"/>
        </w:rPr>
        <w:fldChar w:fldCharType="end"/>
      </w:r>
    </w:p>
    <w:p>
      <w:pPr>
        <w:pStyle w:val="17"/>
        <w:rPr>
          <w:rFonts w:asciiTheme="minorHAnsi" w:hAnsiTheme="minorHAnsi"/>
          <w:b w:val="0"/>
          <w:color w:val="000000" w:themeColor="text1"/>
          <w:sz w:val="21"/>
        </w:rPr>
      </w:pPr>
      <w:r>
        <w:rPr>
          <w:color w:val="000000" w:themeColor="text1"/>
          <w:highlight w:val="none"/>
        </w:rPr>
        <w:fldChar w:fldCharType="begin"/>
      </w:r>
      <w:r>
        <w:rPr>
          <w:color w:val="000000" w:themeColor="text1"/>
          <w:highlight w:val="none"/>
        </w:rPr>
        <w:instrText xml:space="preserve"> HYPERLINK \l "_Toc4009299" </w:instrText>
      </w:r>
      <w:r>
        <w:rPr>
          <w:color w:val="000000" w:themeColor="text1"/>
          <w:highlight w:val="none"/>
        </w:rPr>
        <w:fldChar w:fldCharType="separate"/>
      </w:r>
      <w:r>
        <w:rPr>
          <w:rStyle w:val="27"/>
          <w:rFonts w:hint="eastAsia"/>
          <w:color w:val="000000" w:themeColor="text1"/>
          <w:highlight w:val="none"/>
        </w:rPr>
        <w:t>目</w:t>
      </w:r>
      <w:r>
        <w:rPr>
          <w:rStyle w:val="27"/>
          <w:color w:val="000000" w:themeColor="text1"/>
          <w:highlight w:val="none"/>
        </w:rPr>
        <w:t xml:space="preserve">  </w:t>
      </w:r>
      <w:r>
        <w:rPr>
          <w:rStyle w:val="27"/>
          <w:rFonts w:hint="eastAsia"/>
          <w:color w:val="000000" w:themeColor="text1"/>
          <w:highlight w:val="none"/>
        </w:rPr>
        <w:t>录</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_Toc4009299 \h </w:instrText>
      </w:r>
      <w:r>
        <w:rPr>
          <w:color w:val="000000" w:themeColor="text1"/>
          <w:highlight w:val="none"/>
        </w:rPr>
        <w:fldChar w:fldCharType="separate"/>
      </w:r>
      <w:r>
        <w:rPr>
          <w:color w:val="000000" w:themeColor="text1"/>
          <w:highlight w:val="none"/>
        </w:rPr>
        <w:t>I</w:t>
      </w:r>
      <w:r>
        <w:rPr>
          <w:color w:val="000000" w:themeColor="text1"/>
          <w:highlight w:val="none"/>
        </w:rPr>
        <w:fldChar w:fldCharType="end"/>
      </w:r>
      <w:r>
        <w:rPr>
          <w:color w:val="000000" w:themeColor="text1"/>
          <w:highlight w:val="none"/>
        </w:rPr>
        <w:fldChar w:fldCharType="end"/>
      </w:r>
    </w:p>
    <w:p>
      <w:pPr>
        <w:pStyle w:val="17"/>
        <w:rPr>
          <w:rFonts w:asciiTheme="minorHAnsi" w:hAnsiTheme="minorHAnsi"/>
          <w:b w:val="0"/>
          <w:color w:val="000000" w:themeColor="text1"/>
          <w:sz w:val="21"/>
        </w:rPr>
      </w:pPr>
      <w:r>
        <w:rPr>
          <w:color w:val="000000" w:themeColor="text1"/>
        </w:rPr>
        <w:fldChar w:fldCharType="begin"/>
      </w:r>
      <w:r>
        <w:rPr>
          <w:color w:val="000000" w:themeColor="text1"/>
        </w:rPr>
        <w:instrText xml:space="preserve"> HYPERLINK \l "_Toc4009300" </w:instrText>
      </w:r>
      <w:r>
        <w:rPr>
          <w:color w:val="000000" w:themeColor="text1"/>
        </w:rPr>
        <w:fldChar w:fldCharType="separate"/>
      </w:r>
      <w:r>
        <w:rPr>
          <w:rStyle w:val="27"/>
          <w:rFonts w:hint="eastAsia"/>
          <w:color w:val="000000" w:themeColor="text1"/>
        </w:rPr>
        <w:t>表一、建设项目概况</w:t>
      </w:r>
      <w:r>
        <w:rPr>
          <w:color w:val="000000" w:themeColor="text1"/>
        </w:rPr>
        <w:tab/>
      </w:r>
      <w:r>
        <w:rPr>
          <w:color w:val="000000" w:themeColor="text1"/>
        </w:rPr>
        <w:fldChar w:fldCharType="begin"/>
      </w:r>
      <w:r>
        <w:rPr>
          <w:color w:val="000000" w:themeColor="text1"/>
        </w:rPr>
        <w:instrText xml:space="preserve"> PAGEREF _Toc4009300 \h </w:instrText>
      </w:r>
      <w:r>
        <w:rPr>
          <w:color w:val="000000" w:themeColor="text1"/>
        </w:rPr>
        <w:fldChar w:fldCharType="separate"/>
      </w:r>
      <w:r>
        <w:rPr>
          <w:color w:val="000000" w:themeColor="text1"/>
        </w:rPr>
        <w:t>1</w:t>
      </w:r>
      <w:r>
        <w:rPr>
          <w:color w:val="000000" w:themeColor="text1"/>
        </w:rPr>
        <w:fldChar w:fldCharType="end"/>
      </w:r>
      <w:r>
        <w:rPr>
          <w:color w:val="000000" w:themeColor="text1"/>
        </w:rPr>
        <w:fldChar w:fldCharType="end"/>
      </w:r>
    </w:p>
    <w:p>
      <w:pPr>
        <w:pStyle w:val="17"/>
        <w:rPr>
          <w:rFonts w:asciiTheme="minorHAnsi" w:hAnsiTheme="minorHAnsi"/>
          <w:b w:val="0"/>
          <w:color w:val="000000" w:themeColor="text1"/>
          <w:sz w:val="21"/>
        </w:rPr>
      </w:pPr>
      <w:r>
        <w:rPr>
          <w:color w:val="000000" w:themeColor="text1"/>
        </w:rPr>
        <w:fldChar w:fldCharType="begin"/>
      </w:r>
      <w:r>
        <w:rPr>
          <w:color w:val="000000" w:themeColor="text1"/>
        </w:rPr>
        <w:instrText xml:space="preserve"> HYPERLINK \l "_Toc4009301" </w:instrText>
      </w:r>
      <w:r>
        <w:rPr>
          <w:color w:val="000000" w:themeColor="text1"/>
        </w:rPr>
        <w:fldChar w:fldCharType="separate"/>
      </w:r>
      <w:r>
        <w:rPr>
          <w:rStyle w:val="27"/>
          <w:rFonts w:hint="eastAsia"/>
          <w:color w:val="000000" w:themeColor="text1"/>
        </w:rPr>
        <w:t>表二、建设项目工程概况</w:t>
      </w:r>
      <w:r>
        <w:rPr>
          <w:color w:val="000000" w:themeColor="text1"/>
        </w:rPr>
        <w:tab/>
      </w:r>
      <w:r>
        <w:rPr>
          <w:color w:val="000000" w:themeColor="text1"/>
        </w:rPr>
        <w:fldChar w:fldCharType="begin"/>
      </w:r>
      <w:r>
        <w:rPr>
          <w:color w:val="000000" w:themeColor="text1"/>
        </w:rPr>
        <w:instrText xml:space="preserve"> PAGEREF _Toc4009301 \h </w:instrText>
      </w:r>
      <w:r>
        <w:rPr>
          <w:color w:val="000000" w:themeColor="text1"/>
        </w:rPr>
        <w:fldChar w:fldCharType="separate"/>
      </w:r>
      <w:r>
        <w:rPr>
          <w:color w:val="000000" w:themeColor="text1"/>
        </w:rPr>
        <w:t>3</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"_Toc4009302" </w:instrText>
      </w:r>
      <w:r>
        <w:rPr>
          <w:color w:val="000000" w:themeColor="text1"/>
        </w:rPr>
        <w:fldChar w:fldCharType="separate"/>
      </w:r>
      <w:r>
        <w:rPr>
          <w:rStyle w:val="27"/>
          <w:color w:val="000000" w:themeColor="text1"/>
        </w:rPr>
        <w:t>2.1</w:t>
      </w:r>
      <w:r>
        <w:rPr>
          <w:rStyle w:val="27"/>
          <w:rFonts w:hint="eastAsia"/>
          <w:color w:val="000000" w:themeColor="text1"/>
        </w:rPr>
        <w:t>建设项目基本情况</w:t>
      </w:r>
      <w:r>
        <w:rPr>
          <w:color w:val="000000" w:themeColor="text1"/>
        </w:rPr>
        <w:tab/>
      </w:r>
      <w:r>
        <w:rPr>
          <w:color w:val="000000" w:themeColor="text1"/>
        </w:rPr>
        <w:fldChar w:fldCharType="begin"/>
      </w:r>
      <w:r>
        <w:rPr>
          <w:color w:val="000000" w:themeColor="text1"/>
        </w:rPr>
        <w:instrText xml:space="preserve"> PAGEREF _Toc4009302 \h </w:instrText>
      </w:r>
      <w:r>
        <w:rPr>
          <w:color w:val="000000" w:themeColor="text1"/>
        </w:rPr>
        <w:fldChar w:fldCharType="separate"/>
      </w:r>
      <w:r>
        <w:rPr>
          <w:color w:val="000000" w:themeColor="text1"/>
        </w:rPr>
        <w:t>3</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"_Toc4009303" </w:instrText>
      </w:r>
      <w:r>
        <w:rPr>
          <w:color w:val="000000" w:themeColor="text1"/>
        </w:rPr>
        <w:fldChar w:fldCharType="separate"/>
      </w:r>
      <w:r>
        <w:rPr>
          <w:rStyle w:val="27"/>
          <w:color w:val="000000" w:themeColor="text1"/>
        </w:rPr>
        <w:t>2.2</w:t>
      </w:r>
      <w:r>
        <w:rPr>
          <w:rStyle w:val="27"/>
          <w:rFonts w:hint="eastAsia"/>
          <w:color w:val="000000" w:themeColor="text1"/>
        </w:rPr>
        <w:t>主要设备</w:t>
      </w:r>
      <w:r>
        <w:rPr>
          <w:color w:val="000000" w:themeColor="text1"/>
        </w:rPr>
        <w:tab/>
      </w:r>
      <w:r>
        <w:rPr>
          <w:color w:val="000000" w:themeColor="text1"/>
        </w:rPr>
        <w:fldChar w:fldCharType="begin"/>
      </w:r>
      <w:r>
        <w:rPr>
          <w:color w:val="000000" w:themeColor="text1"/>
        </w:rPr>
        <w:instrText xml:space="preserve"> PAGEREF _Toc4009303 \h </w:instrText>
      </w:r>
      <w:r>
        <w:rPr>
          <w:color w:val="000000" w:themeColor="text1"/>
        </w:rPr>
        <w:fldChar w:fldCharType="separate"/>
      </w:r>
      <w:r>
        <w:rPr>
          <w:color w:val="000000" w:themeColor="text1"/>
        </w:rPr>
        <w:t>3</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"_Toc4009304" </w:instrText>
      </w:r>
      <w:r>
        <w:rPr>
          <w:color w:val="000000" w:themeColor="text1"/>
        </w:rPr>
        <w:fldChar w:fldCharType="separate"/>
      </w:r>
      <w:r>
        <w:rPr>
          <w:rStyle w:val="27"/>
          <w:color w:val="000000" w:themeColor="text1"/>
        </w:rPr>
        <w:t>2.3</w:t>
      </w:r>
      <w:r>
        <w:rPr>
          <w:rStyle w:val="27"/>
          <w:rFonts w:hint="eastAsia"/>
          <w:color w:val="000000" w:themeColor="text1"/>
        </w:rPr>
        <w:t>主要原辅材料</w:t>
      </w:r>
      <w:r>
        <w:rPr>
          <w:color w:val="000000" w:themeColor="text1"/>
        </w:rPr>
        <w:tab/>
      </w:r>
      <w:r>
        <w:rPr>
          <w:color w:val="000000" w:themeColor="text1"/>
        </w:rPr>
        <w:fldChar w:fldCharType="begin"/>
      </w:r>
      <w:r>
        <w:rPr>
          <w:color w:val="000000" w:themeColor="text1"/>
        </w:rPr>
        <w:instrText xml:space="preserve"> PAGEREF _Toc4009304 \h </w:instrText>
      </w:r>
      <w:r>
        <w:rPr>
          <w:color w:val="000000" w:themeColor="text1"/>
        </w:rPr>
        <w:fldChar w:fldCharType="separate"/>
      </w:r>
      <w:r>
        <w:rPr>
          <w:color w:val="000000" w:themeColor="text1"/>
        </w:rPr>
        <w:t>4</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"_Toc4009305" </w:instrText>
      </w:r>
      <w:r>
        <w:rPr>
          <w:color w:val="000000" w:themeColor="text1"/>
        </w:rPr>
        <w:fldChar w:fldCharType="separate"/>
      </w:r>
      <w:r>
        <w:rPr>
          <w:rStyle w:val="27"/>
          <w:rFonts w:ascii="宋体" w:hAnsi="宋体" w:eastAsia="宋体"/>
          <w:color w:val="000000" w:themeColor="text1"/>
        </w:rPr>
        <w:t>2.4</w:t>
      </w:r>
      <w:r>
        <w:rPr>
          <w:rStyle w:val="27"/>
          <w:rFonts w:hint="eastAsia" w:ascii="宋体" w:hAnsi="宋体" w:eastAsia="宋体"/>
          <w:color w:val="000000" w:themeColor="text1"/>
        </w:rPr>
        <w:t>公用工程</w:t>
      </w:r>
      <w:r>
        <w:rPr>
          <w:color w:val="000000" w:themeColor="text1"/>
        </w:rPr>
        <w:tab/>
      </w:r>
      <w:r>
        <w:rPr>
          <w:color w:val="000000" w:themeColor="text1"/>
        </w:rPr>
        <w:fldChar w:fldCharType="begin"/>
      </w:r>
      <w:r>
        <w:rPr>
          <w:color w:val="000000" w:themeColor="text1"/>
        </w:rPr>
        <w:instrText xml:space="preserve"> PAGEREF _Toc4009305 \h </w:instrText>
      </w:r>
      <w:r>
        <w:rPr>
          <w:color w:val="000000" w:themeColor="text1"/>
        </w:rPr>
        <w:fldChar w:fldCharType="separate"/>
      </w:r>
      <w:r>
        <w:rPr>
          <w:color w:val="000000" w:themeColor="text1"/>
        </w:rPr>
        <w:t>4</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"_Toc4009306" </w:instrText>
      </w:r>
      <w:r>
        <w:rPr>
          <w:color w:val="000000" w:themeColor="text1"/>
        </w:rPr>
        <w:fldChar w:fldCharType="separate"/>
      </w:r>
      <w:r>
        <w:rPr>
          <w:rStyle w:val="27"/>
          <w:rFonts w:eastAsia="宋体" w:cs="Times New Roman"/>
          <w:color w:val="000000" w:themeColor="text1"/>
        </w:rPr>
        <w:t>2.5</w:t>
      </w:r>
      <w:r>
        <w:rPr>
          <w:rStyle w:val="27"/>
          <w:rFonts w:hint="eastAsia" w:hAnsi="宋体" w:eastAsia="宋体" w:cs="Times New Roman"/>
          <w:color w:val="000000" w:themeColor="text1"/>
        </w:rPr>
        <w:t>主要工艺流程及产物环节</w:t>
      </w:r>
      <w:r>
        <w:rPr>
          <w:color w:val="000000" w:themeColor="text1"/>
        </w:rPr>
        <w:tab/>
      </w:r>
      <w:r>
        <w:rPr>
          <w:color w:val="000000" w:themeColor="text1"/>
        </w:rPr>
        <w:fldChar w:fldCharType="begin"/>
      </w:r>
      <w:r>
        <w:rPr>
          <w:color w:val="000000" w:themeColor="text1"/>
        </w:rPr>
        <w:instrText xml:space="preserve"> PAGEREF _Toc4009306 \h </w:instrText>
      </w:r>
      <w:r>
        <w:rPr>
          <w:color w:val="000000" w:themeColor="text1"/>
        </w:rPr>
        <w:fldChar w:fldCharType="separate"/>
      </w:r>
      <w:r>
        <w:rPr>
          <w:color w:val="000000" w:themeColor="text1"/>
        </w:rPr>
        <w:t>5</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"_Toc4009307" </w:instrText>
      </w:r>
      <w:r>
        <w:rPr>
          <w:color w:val="000000" w:themeColor="text1"/>
        </w:rPr>
        <w:fldChar w:fldCharType="separate"/>
      </w:r>
      <w:r>
        <w:rPr>
          <w:rStyle w:val="27"/>
          <w:color w:val="000000" w:themeColor="text1"/>
        </w:rPr>
        <w:t>2.6</w:t>
      </w:r>
      <w:r>
        <w:rPr>
          <w:rStyle w:val="27"/>
          <w:rFonts w:hint="eastAsia"/>
          <w:color w:val="000000" w:themeColor="text1"/>
        </w:rPr>
        <w:t>项目变动情况</w:t>
      </w:r>
      <w:r>
        <w:rPr>
          <w:color w:val="000000" w:themeColor="text1"/>
        </w:rPr>
        <w:tab/>
      </w:r>
      <w:r>
        <w:rPr>
          <w:color w:val="000000" w:themeColor="text1"/>
        </w:rPr>
        <w:fldChar w:fldCharType="begin"/>
      </w:r>
      <w:r>
        <w:rPr>
          <w:color w:val="000000" w:themeColor="text1"/>
        </w:rPr>
        <w:instrText xml:space="preserve"> PAGEREF _Toc4009307 \h </w:instrText>
      </w:r>
      <w:r>
        <w:rPr>
          <w:color w:val="000000" w:themeColor="text1"/>
        </w:rPr>
        <w:fldChar w:fldCharType="separate"/>
      </w:r>
      <w:r>
        <w:rPr>
          <w:color w:val="000000" w:themeColor="text1"/>
        </w:rPr>
        <w:t>5</w:t>
      </w:r>
      <w:r>
        <w:rPr>
          <w:color w:val="000000" w:themeColor="text1"/>
        </w:rPr>
        <w:fldChar w:fldCharType="end"/>
      </w:r>
      <w:r>
        <w:rPr>
          <w:color w:val="000000" w:themeColor="text1"/>
        </w:rPr>
        <w:fldChar w:fldCharType="end"/>
      </w:r>
    </w:p>
    <w:p>
      <w:pPr>
        <w:pStyle w:val="17"/>
        <w:rPr>
          <w:rFonts w:asciiTheme="minorHAnsi" w:hAnsiTheme="minorHAnsi"/>
          <w:b w:val="0"/>
          <w:color w:val="000000" w:themeColor="text1"/>
          <w:sz w:val="21"/>
        </w:rPr>
      </w:pPr>
      <w:r>
        <w:rPr>
          <w:color w:val="000000" w:themeColor="text1"/>
        </w:rPr>
        <w:fldChar w:fldCharType="begin"/>
      </w:r>
      <w:r>
        <w:rPr>
          <w:color w:val="000000" w:themeColor="text1"/>
        </w:rPr>
        <w:instrText xml:space="preserve"> HYPERLINK \l "_Toc4009308" </w:instrText>
      </w:r>
      <w:r>
        <w:rPr>
          <w:color w:val="000000" w:themeColor="text1"/>
        </w:rPr>
        <w:fldChar w:fldCharType="separate"/>
      </w:r>
      <w:r>
        <w:rPr>
          <w:rStyle w:val="27"/>
          <w:rFonts w:hint="eastAsia"/>
          <w:color w:val="000000" w:themeColor="text1"/>
        </w:rPr>
        <w:t>表三、主要污染物排放及防治措施</w:t>
      </w:r>
      <w:r>
        <w:rPr>
          <w:color w:val="000000" w:themeColor="text1"/>
        </w:rPr>
        <w:tab/>
      </w:r>
      <w:r>
        <w:rPr>
          <w:color w:val="000000" w:themeColor="text1"/>
        </w:rPr>
        <w:fldChar w:fldCharType="begin"/>
      </w:r>
      <w:r>
        <w:rPr>
          <w:color w:val="000000" w:themeColor="text1"/>
        </w:rPr>
        <w:instrText xml:space="preserve"> PAGEREF _Toc4009308 \h </w:instrText>
      </w:r>
      <w:r>
        <w:rPr>
          <w:color w:val="000000" w:themeColor="text1"/>
        </w:rPr>
        <w:fldChar w:fldCharType="separate"/>
      </w:r>
      <w:r>
        <w:rPr>
          <w:color w:val="000000" w:themeColor="text1"/>
        </w:rPr>
        <w:t>6</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"_Toc4009309" </w:instrText>
      </w:r>
      <w:r>
        <w:rPr>
          <w:color w:val="000000" w:themeColor="text1"/>
        </w:rPr>
        <w:fldChar w:fldCharType="separate"/>
      </w:r>
      <w:r>
        <w:rPr>
          <w:rStyle w:val="27"/>
          <w:color w:val="000000" w:themeColor="text1"/>
        </w:rPr>
        <w:t>3.1</w:t>
      </w:r>
      <w:r>
        <w:rPr>
          <w:rStyle w:val="27"/>
          <w:rFonts w:hint="eastAsia"/>
          <w:color w:val="000000" w:themeColor="text1"/>
        </w:rPr>
        <w:t>主要污染源、污染物处理和排放</w:t>
      </w:r>
      <w:r>
        <w:rPr>
          <w:color w:val="000000" w:themeColor="text1"/>
        </w:rPr>
        <w:tab/>
      </w:r>
      <w:r>
        <w:rPr>
          <w:color w:val="000000" w:themeColor="text1"/>
        </w:rPr>
        <w:fldChar w:fldCharType="begin"/>
      </w:r>
      <w:r>
        <w:rPr>
          <w:color w:val="000000" w:themeColor="text1"/>
        </w:rPr>
        <w:instrText xml:space="preserve"> PAGEREF _Toc4009309 \h </w:instrText>
      </w:r>
      <w:r>
        <w:rPr>
          <w:color w:val="000000" w:themeColor="text1"/>
        </w:rPr>
        <w:fldChar w:fldCharType="separate"/>
      </w:r>
      <w:r>
        <w:rPr>
          <w:color w:val="000000" w:themeColor="text1"/>
        </w:rPr>
        <w:t>6</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"_Toc4009310" </w:instrText>
      </w:r>
      <w:r>
        <w:rPr>
          <w:color w:val="000000" w:themeColor="text1"/>
        </w:rPr>
        <w:fldChar w:fldCharType="separate"/>
      </w:r>
      <w:r>
        <w:rPr>
          <w:rStyle w:val="27"/>
          <w:color w:val="000000" w:themeColor="text1"/>
        </w:rPr>
        <w:t>3.2</w:t>
      </w:r>
      <w:r>
        <w:rPr>
          <w:rStyle w:val="27"/>
          <w:rFonts w:hint="eastAsia"/>
          <w:color w:val="000000" w:themeColor="text1"/>
        </w:rPr>
        <w:t>其他环境保护设施</w:t>
      </w:r>
      <w:r>
        <w:rPr>
          <w:color w:val="000000" w:themeColor="text1"/>
        </w:rPr>
        <w:tab/>
      </w:r>
      <w:r>
        <w:rPr>
          <w:color w:val="000000" w:themeColor="text1"/>
        </w:rPr>
        <w:fldChar w:fldCharType="begin"/>
      </w:r>
      <w:r>
        <w:rPr>
          <w:color w:val="000000" w:themeColor="text1"/>
        </w:rPr>
        <w:instrText xml:space="preserve"> PAGEREF _Toc4009310 \h </w:instrText>
      </w:r>
      <w:r>
        <w:rPr>
          <w:color w:val="000000" w:themeColor="text1"/>
        </w:rPr>
        <w:fldChar w:fldCharType="separate"/>
      </w:r>
      <w:r>
        <w:rPr>
          <w:color w:val="000000" w:themeColor="text1"/>
        </w:rPr>
        <w:t>10</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"_Toc4009311" </w:instrText>
      </w:r>
      <w:r>
        <w:rPr>
          <w:color w:val="000000" w:themeColor="text1"/>
        </w:rPr>
        <w:fldChar w:fldCharType="separate"/>
      </w:r>
      <w:r>
        <w:rPr>
          <w:rStyle w:val="27"/>
          <w:color w:val="000000" w:themeColor="text1"/>
        </w:rPr>
        <w:t>3.3</w:t>
      </w:r>
      <w:r>
        <w:rPr>
          <w:rStyle w:val="27"/>
          <w:rFonts w:hint="eastAsia"/>
          <w:color w:val="000000" w:themeColor="text1"/>
        </w:rPr>
        <w:t>环保设施投资及“三同时”落实情况</w:t>
      </w:r>
      <w:r>
        <w:rPr>
          <w:color w:val="000000" w:themeColor="text1"/>
        </w:rPr>
        <w:tab/>
      </w:r>
      <w:r>
        <w:rPr>
          <w:color w:val="000000" w:themeColor="text1"/>
        </w:rPr>
        <w:fldChar w:fldCharType="begin"/>
      </w:r>
      <w:r>
        <w:rPr>
          <w:color w:val="000000" w:themeColor="text1"/>
        </w:rPr>
        <w:instrText xml:space="preserve"> PAGEREF _Toc4009311 \h </w:instrText>
      </w:r>
      <w:r>
        <w:rPr>
          <w:color w:val="000000" w:themeColor="text1"/>
        </w:rPr>
        <w:fldChar w:fldCharType="separate"/>
      </w:r>
      <w:r>
        <w:rPr>
          <w:color w:val="000000" w:themeColor="text1"/>
        </w:rPr>
        <w:t>10</w:t>
      </w:r>
      <w:r>
        <w:rPr>
          <w:color w:val="000000" w:themeColor="text1"/>
        </w:rPr>
        <w:fldChar w:fldCharType="end"/>
      </w:r>
      <w:r>
        <w:rPr>
          <w:color w:val="000000" w:themeColor="text1"/>
        </w:rPr>
        <w:fldChar w:fldCharType="end"/>
      </w:r>
    </w:p>
    <w:p>
      <w:pPr>
        <w:pStyle w:val="17"/>
        <w:rPr>
          <w:rFonts w:asciiTheme="minorHAnsi" w:hAnsiTheme="minorHAnsi"/>
          <w:b w:val="0"/>
          <w:color w:val="000000" w:themeColor="text1"/>
          <w:sz w:val="21"/>
        </w:rPr>
      </w:pPr>
      <w:r>
        <w:rPr>
          <w:color w:val="000000" w:themeColor="text1"/>
        </w:rPr>
        <w:fldChar w:fldCharType="begin"/>
      </w:r>
      <w:r>
        <w:rPr>
          <w:color w:val="000000" w:themeColor="text1"/>
        </w:rPr>
        <w:instrText xml:space="preserve"> HYPERLINK \l "_Toc4009312" </w:instrText>
      </w:r>
      <w:r>
        <w:rPr>
          <w:color w:val="000000" w:themeColor="text1"/>
        </w:rPr>
        <w:fldChar w:fldCharType="separate"/>
      </w:r>
      <w:r>
        <w:rPr>
          <w:rStyle w:val="27"/>
          <w:rFonts w:hint="eastAsia"/>
          <w:color w:val="000000" w:themeColor="text1"/>
        </w:rPr>
        <w:t>表四、环境影响报告表主要结论与建议及其审批部门审批决定</w:t>
      </w:r>
      <w:r>
        <w:rPr>
          <w:color w:val="000000" w:themeColor="text1"/>
        </w:rPr>
        <w:tab/>
      </w:r>
      <w:r>
        <w:rPr>
          <w:color w:val="000000" w:themeColor="text1"/>
        </w:rPr>
        <w:fldChar w:fldCharType="begin"/>
      </w:r>
      <w:r>
        <w:rPr>
          <w:color w:val="000000" w:themeColor="text1"/>
        </w:rPr>
        <w:instrText xml:space="preserve"> PAGEREF _Toc4009312 \h </w:instrText>
      </w:r>
      <w:r>
        <w:rPr>
          <w:color w:val="000000" w:themeColor="text1"/>
        </w:rPr>
        <w:fldChar w:fldCharType="separate"/>
      </w:r>
      <w:r>
        <w:rPr>
          <w:color w:val="000000" w:themeColor="text1"/>
        </w:rPr>
        <w:t>12</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"_Toc4009313" </w:instrText>
      </w:r>
      <w:r>
        <w:rPr>
          <w:color w:val="000000" w:themeColor="text1"/>
        </w:rPr>
        <w:fldChar w:fldCharType="separate"/>
      </w:r>
      <w:r>
        <w:rPr>
          <w:rStyle w:val="27"/>
          <w:color w:val="000000" w:themeColor="text1"/>
        </w:rPr>
        <w:t>4.1</w:t>
      </w:r>
      <w:r>
        <w:rPr>
          <w:rStyle w:val="27"/>
          <w:rFonts w:hint="eastAsia"/>
          <w:color w:val="000000" w:themeColor="text1"/>
        </w:rPr>
        <w:t>环境影响报告表主要结论和建议</w:t>
      </w:r>
      <w:r>
        <w:rPr>
          <w:color w:val="000000" w:themeColor="text1"/>
        </w:rPr>
        <w:tab/>
      </w:r>
      <w:r>
        <w:rPr>
          <w:color w:val="000000" w:themeColor="text1"/>
        </w:rPr>
        <w:fldChar w:fldCharType="begin"/>
      </w:r>
      <w:r>
        <w:rPr>
          <w:color w:val="000000" w:themeColor="text1"/>
        </w:rPr>
        <w:instrText xml:space="preserve"> PAGEREF _Toc4009313 \h </w:instrText>
      </w:r>
      <w:r>
        <w:rPr>
          <w:color w:val="000000" w:themeColor="text1"/>
        </w:rPr>
        <w:fldChar w:fldCharType="separate"/>
      </w:r>
      <w:r>
        <w:rPr>
          <w:color w:val="000000" w:themeColor="text1"/>
        </w:rPr>
        <w:t>12</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"_Toc4009314" </w:instrText>
      </w:r>
      <w:r>
        <w:rPr>
          <w:color w:val="000000" w:themeColor="text1"/>
        </w:rPr>
        <w:fldChar w:fldCharType="separate"/>
      </w:r>
      <w:r>
        <w:rPr>
          <w:rStyle w:val="27"/>
          <w:rFonts w:eastAsia="宋体" w:cs="Times New Roman"/>
          <w:color w:val="000000" w:themeColor="text1"/>
        </w:rPr>
        <w:t>4.2</w:t>
      </w:r>
      <w:r>
        <w:rPr>
          <w:rStyle w:val="27"/>
          <w:rFonts w:hint="eastAsia" w:hAnsi="宋体" w:eastAsia="宋体" w:cs="Times New Roman"/>
          <w:color w:val="000000" w:themeColor="text1"/>
        </w:rPr>
        <w:t>审批部门审批决定</w:t>
      </w:r>
      <w:r>
        <w:rPr>
          <w:color w:val="000000" w:themeColor="text1"/>
        </w:rPr>
        <w:tab/>
      </w:r>
      <w:r>
        <w:rPr>
          <w:color w:val="000000" w:themeColor="text1"/>
        </w:rPr>
        <w:fldChar w:fldCharType="begin"/>
      </w:r>
      <w:r>
        <w:rPr>
          <w:color w:val="000000" w:themeColor="text1"/>
        </w:rPr>
        <w:instrText xml:space="preserve"> PAGEREF _Toc4009314 \h </w:instrText>
      </w:r>
      <w:r>
        <w:rPr>
          <w:color w:val="000000" w:themeColor="text1"/>
        </w:rPr>
        <w:fldChar w:fldCharType="separate"/>
      </w:r>
      <w:r>
        <w:rPr>
          <w:color w:val="000000" w:themeColor="text1"/>
        </w:rPr>
        <w:t>12</w:t>
      </w:r>
      <w:r>
        <w:rPr>
          <w:color w:val="000000" w:themeColor="text1"/>
        </w:rPr>
        <w:fldChar w:fldCharType="end"/>
      </w:r>
      <w:r>
        <w:rPr>
          <w:color w:val="000000" w:themeColor="text1"/>
        </w:rPr>
        <w:fldChar w:fldCharType="end"/>
      </w:r>
    </w:p>
    <w:p>
      <w:pPr>
        <w:pStyle w:val="17"/>
        <w:rPr>
          <w:rFonts w:asciiTheme="minorHAnsi" w:hAnsiTheme="minorHAnsi"/>
          <w:b w:val="0"/>
          <w:color w:val="000000" w:themeColor="text1"/>
          <w:sz w:val="21"/>
        </w:rPr>
      </w:pPr>
      <w:r>
        <w:rPr>
          <w:color w:val="000000" w:themeColor="text1"/>
        </w:rPr>
        <w:fldChar w:fldCharType="begin"/>
      </w:r>
      <w:r>
        <w:rPr>
          <w:color w:val="000000" w:themeColor="text1"/>
        </w:rPr>
        <w:instrText xml:space="preserve"> HYPERLINK \l "_Toc4009315" </w:instrText>
      </w:r>
      <w:r>
        <w:rPr>
          <w:color w:val="000000" w:themeColor="text1"/>
        </w:rPr>
        <w:fldChar w:fldCharType="separate"/>
      </w:r>
      <w:r>
        <w:rPr>
          <w:rStyle w:val="27"/>
          <w:rFonts w:hint="eastAsia"/>
          <w:color w:val="000000" w:themeColor="text1"/>
        </w:rPr>
        <w:t>表五、质量保证与质量控制</w:t>
      </w:r>
      <w:r>
        <w:rPr>
          <w:color w:val="000000" w:themeColor="text1"/>
        </w:rPr>
        <w:tab/>
      </w:r>
      <w:r>
        <w:rPr>
          <w:color w:val="000000" w:themeColor="text1"/>
        </w:rPr>
        <w:fldChar w:fldCharType="begin"/>
      </w:r>
      <w:r>
        <w:rPr>
          <w:color w:val="000000" w:themeColor="text1"/>
        </w:rPr>
        <w:instrText xml:space="preserve"> PAGEREF _Toc4009315 \h </w:instrText>
      </w:r>
      <w:r>
        <w:rPr>
          <w:color w:val="000000" w:themeColor="text1"/>
        </w:rPr>
        <w:fldChar w:fldCharType="separate"/>
      </w:r>
      <w:r>
        <w:rPr>
          <w:color w:val="000000" w:themeColor="text1"/>
        </w:rPr>
        <w:t>14</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"_Toc4009317" </w:instrText>
      </w:r>
      <w:r>
        <w:rPr>
          <w:color w:val="000000" w:themeColor="text1"/>
        </w:rPr>
        <w:fldChar w:fldCharType="separate"/>
      </w:r>
      <w:r>
        <w:rPr>
          <w:rStyle w:val="27"/>
          <w:rFonts w:eastAsia="宋体" w:cs="Times New Roman"/>
          <w:color w:val="000000" w:themeColor="text1"/>
        </w:rPr>
        <w:t>5.1</w:t>
      </w:r>
      <w:r>
        <w:rPr>
          <w:rStyle w:val="27"/>
          <w:rFonts w:hint="eastAsia" w:hAnsi="宋体" w:eastAsia="宋体" w:cs="Times New Roman"/>
          <w:color w:val="000000" w:themeColor="text1"/>
        </w:rPr>
        <w:t>监测分析方法和设备</w:t>
      </w:r>
      <w:r>
        <w:rPr>
          <w:color w:val="000000" w:themeColor="text1"/>
        </w:rPr>
        <w:tab/>
      </w:r>
      <w:r>
        <w:rPr>
          <w:color w:val="000000" w:themeColor="text1"/>
        </w:rPr>
        <w:fldChar w:fldCharType="begin"/>
      </w:r>
      <w:r>
        <w:rPr>
          <w:color w:val="000000" w:themeColor="text1"/>
        </w:rPr>
        <w:instrText xml:space="preserve"> PAGEREF _Toc4009317 \h </w:instrText>
      </w:r>
      <w:r>
        <w:rPr>
          <w:color w:val="000000" w:themeColor="text1"/>
        </w:rPr>
        <w:fldChar w:fldCharType="separate"/>
      </w:r>
      <w:r>
        <w:rPr>
          <w:color w:val="000000" w:themeColor="text1"/>
        </w:rPr>
        <w:t>14</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"_Toc4009318" </w:instrText>
      </w:r>
      <w:r>
        <w:rPr>
          <w:color w:val="000000" w:themeColor="text1"/>
        </w:rPr>
        <w:fldChar w:fldCharType="separate"/>
      </w:r>
      <w:r>
        <w:rPr>
          <w:rStyle w:val="27"/>
          <w:rFonts w:eastAsia="宋体" w:cs="Times New Roman"/>
          <w:color w:val="000000" w:themeColor="text1"/>
        </w:rPr>
        <w:t xml:space="preserve">5.2 </w:t>
      </w:r>
      <w:r>
        <w:rPr>
          <w:rStyle w:val="27"/>
          <w:rFonts w:hint="eastAsia" w:hAnsi="宋体" w:eastAsia="宋体" w:cs="Times New Roman"/>
          <w:color w:val="000000" w:themeColor="text1"/>
        </w:rPr>
        <w:t>人员资质</w:t>
      </w:r>
      <w:r>
        <w:rPr>
          <w:color w:val="000000" w:themeColor="text1"/>
        </w:rPr>
        <w:tab/>
      </w:r>
      <w:r>
        <w:rPr>
          <w:color w:val="000000" w:themeColor="text1"/>
        </w:rPr>
        <w:fldChar w:fldCharType="begin"/>
      </w:r>
      <w:r>
        <w:rPr>
          <w:color w:val="000000" w:themeColor="text1"/>
        </w:rPr>
        <w:instrText xml:space="preserve"> PAGEREF _Toc4009318 \h </w:instrText>
      </w:r>
      <w:r>
        <w:rPr>
          <w:color w:val="000000" w:themeColor="text1"/>
        </w:rPr>
        <w:fldChar w:fldCharType="separate"/>
      </w:r>
      <w:r>
        <w:rPr>
          <w:color w:val="000000" w:themeColor="text1"/>
        </w:rPr>
        <w:t>14</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"_Toc4009319" </w:instrText>
      </w:r>
      <w:r>
        <w:rPr>
          <w:color w:val="000000" w:themeColor="text1"/>
        </w:rPr>
        <w:fldChar w:fldCharType="separate"/>
      </w:r>
      <w:r>
        <w:rPr>
          <w:rStyle w:val="27"/>
          <w:color w:val="000000" w:themeColor="text1"/>
        </w:rPr>
        <w:t>5.3</w:t>
      </w:r>
      <w:r>
        <w:rPr>
          <w:rStyle w:val="27"/>
          <w:rFonts w:hint="eastAsia"/>
          <w:color w:val="000000" w:themeColor="text1"/>
        </w:rPr>
        <w:t>分析过程中的质量保证</w:t>
      </w:r>
      <w:r>
        <w:rPr>
          <w:rStyle w:val="27"/>
          <w:rFonts w:hint="eastAsia" w:ascii="宋体"/>
          <w:color w:val="000000" w:themeColor="text1"/>
        </w:rPr>
        <w:t>和质量控制</w:t>
      </w:r>
      <w:r>
        <w:rPr>
          <w:color w:val="000000" w:themeColor="text1"/>
        </w:rPr>
        <w:tab/>
      </w:r>
      <w:r>
        <w:rPr>
          <w:color w:val="000000" w:themeColor="text1"/>
        </w:rPr>
        <w:fldChar w:fldCharType="begin"/>
      </w:r>
      <w:r>
        <w:rPr>
          <w:color w:val="000000" w:themeColor="text1"/>
        </w:rPr>
        <w:instrText xml:space="preserve"> PAGEREF _Toc4009319 \h </w:instrText>
      </w:r>
      <w:r>
        <w:rPr>
          <w:color w:val="000000" w:themeColor="text1"/>
        </w:rPr>
        <w:fldChar w:fldCharType="separate"/>
      </w:r>
      <w:r>
        <w:rPr>
          <w:color w:val="000000" w:themeColor="text1"/>
        </w:rPr>
        <w:t>14</w:t>
      </w:r>
      <w:r>
        <w:rPr>
          <w:color w:val="000000" w:themeColor="text1"/>
        </w:rPr>
        <w:fldChar w:fldCharType="end"/>
      </w:r>
      <w:r>
        <w:rPr>
          <w:color w:val="000000" w:themeColor="text1"/>
        </w:rPr>
        <w:fldChar w:fldCharType="end"/>
      </w:r>
    </w:p>
    <w:p>
      <w:pPr>
        <w:pStyle w:val="17"/>
        <w:rPr>
          <w:rFonts w:asciiTheme="minorHAnsi" w:hAnsiTheme="minorHAnsi"/>
          <w:b w:val="0"/>
          <w:color w:val="000000" w:themeColor="text1"/>
          <w:sz w:val="21"/>
        </w:rPr>
      </w:pPr>
      <w:r>
        <w:rPr>
          <w:color w:val="000000" w:themeColor="text1"/>
        </w:rPr>
        <w:fldChar w:fldCharType="begin"/>
      </w:r>
      <w:r>
        <w:rPr>
          <w:color w:val="000000" w:themeColor="text1"/>
        </w:rPr>
        <w:instrText xml:space="preserve"> HYPERLINK \l "_Toc4009320" </w:instrText>
      </w:r>
      <w:r>
        <w:rPr>
          <w:color w:val="000000" w:themeColor="text1"/>
        </w:rPr>
        <w:fldChar w:fldCharType="separate"/>
      </w:r>
      <w:r>
        <w:rPr>
          <w:rStyle w:val="27"/>
          <w:rFonts w:hint="eastAsia"/>
          <w:color w:val="000000" w:themeColor="text1"/>
        </w:rPr>
        <w:t>表六、验收监测内容</w:t>
      </w:r>
      <w:r>
        <w:rPr>
          <w:color w:val="000000" w:themeColor="text1"/>
        </w:rPr>
        <w:tab/>
      </w:r>
      <w:r>
        <w:rPr>
          <w:color w:val="000000" w:themeColor="text1"/>
        </w:rPr>
        <w:fldChar w:fldCharType="begin"/>
      </w:r>
      <w:r>
        <w:rPr>
          <w:color w:val="000000" w:themeColor="text1"/>
        </w:rPr>
        <w:instrText xml:space="preserve"> PAGEREF _Toc4009320 \h </w:instrText>
      </w:r>
      <w:r>
        <w:rPr>
          <w:color w:val="000000" w:themeColor="text1"/>
        </w:rPr>
        <w:fldChar w:fldCharType="separate"/>
      </w:r>
      <w:r>
        <w:rPr>
          <w:color w:val="000000" w:themeColor="text1"/>
        </w:rPr>
        <w:t>16</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"_Toc4009321" </w:instrText>
      </w:r>
      <w:r>
        <w:rPr>
          <w:color w:val="000000" w:themeColor="text1"/>
        </w:rPr>
        <w:fldChar w:fldCharType="separate"/>
      </w:r>
      <w:r>
        <w:rPr>
          <w:rStyle w:val="27"/>
          <w:color w:val="000000" w:themeColor="text1"/>
        </w:rPr>
        <w:t>6.1</w:t>
      </w:r>
      <w:r>
        <w:rPr>
          <w:rStyle w:val="27"/>
          <w:rFonts w:hint="eastAsia"/>
          <w:color w:val="000000" w:themeColor="text1"/>
        </w:rPr>
        <w:t>环境保护设施调试效果</w:t>
      </w:r>
      <w:r>
        <w:rPr>
          <w:color w:val="000000" w:themeColor="text1"/>
        </w:rPr>
        <w:tab/>
      </w:r>
      <w:r>
        <w:rPr>
          <w:color w:val="000000" w:themeColor="text1"/>
        </w:rPr>
        <w:fldChar w:fldCharType="begin"/>
      </w:r>
      <w:r>
        <w:rPr>
          <w:color w:val="000000" w:themeColor="text1"/>
        </w:rPr>
        <w:instrText xml:space="preserve"> PAGEREF _Toc4009321 \h </w:instrText>
      </w:r>
      <w:r>
        <w:rPr>
          <w:color w:val="000000" w:themeColor="text1"/>
        </w:rPr>
        <w:fldChar w:fldCharType="separate"/>
      </w:r>
      <w:r>
        <w:rPr>
          <w:color w:val="000000" w:themeColor="text1"/>
        </w:rPr>
        <w:t>16</w:t>
      </w:r>
      <w:r>
        <w:rPr>
          <w:color w:val="000000" w:themeColor="text1"/>
        </w:rPr>
        <w:fldChar w:fldCharType="end"/>
      </w:r>
      <w:r>
        <w:rPr>
          <w:color w:val="000000" w:themeColor="text1"/>
        </w:rPr>
        <w:fldChar w:fldCharType="end"/>
      </w:r>
    </w:p>
    <w:p>
      <w:pPr>
        <w:pStyle w:val="17"/>
        <w:rPr>
          <w:rFonts w:asciiTheme="minorHAnsi" w:hAnsiTheme="minorHAnsi"/>
          <w:b w:val="0"/>
          <w:color w:val="000000" w:themeColor="text1"/>
          <w:sz w:val="21"/>
        </w:rPr>
      </w:pPr>
      <w:r>
        <w:rPr>
          <w:color w:val="000000" w:themeColor="text1"/>
        </w:rPr>
        <w:fldChar w:fldCharType="begin"/>
      </w:r>
      <w:r>
        <w:rPr>
          <w:color w:val="000000" w:themeColor="text1"/>
        </w:rPr>
        <w:instrText xml:space="preserve"> HYPERLINK \l "_Toc4009322" </w:instrText>
      </w:r>
      <w:r>
        <w:rPr>
          <w:color w:val="000000" w:themeColor="text1"/>
        </w:rPr>
        <w:fldChar w:fldCharType="separate"/>
      </w:r>
      <w:r>
        <w:rPr>
          <w:rStyle w:val="27"/>
          <w:rFonts w:hint="eastAsia"/>
          <w:color w:val="000000" w:themeColor="text1"/>
        </w:rPr>
        <w:t>表七、验收监测结果</w:t>
      </w:r>
      <w:r>
        <w:rPr>
          <w:color w:val="000000" w:themeColor="text1"/>
        </w:rPr>
        <w:tab/>
      </w:r>
      <w:r>
        <w:rPr>
          <w:color w:val="000000" w:themeColor="text1"/>
        </w:rPr>
        <w:fldChar w:fldCharType="begin"/>
      </w:r>
      <w:r>
        <w:rPr>
          <w:color w:val="000000" w:themeColor="text1"/>
        </w:rPr>
        <w:instrText xml:space="preserve"> PAGEREF _Toc4009322 \h </w:instrText>
      </w:r>
      <w:r>
        <w:rPr>
          <w:color w:val="000000" w:themeColor="text1"/>
        </w:rPr>
        <w:fldChar w:fldCharType="separate"/>
      </w:r>
      <w:r>
        <w:rPr>
          <w:color w:val="000000" w:themeColor="text1"/>
        </w:rPr>
        <w:t>17</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"_Toc4009323" </w:instrText>
      </w:r>
      <w:r>
        <w:rPr>
          <w:color w:val="000000" w:themeColor="text1"/>
        </w:rPr>
        <w:fldChar w:fldCharType="separate"/>
      </w:r>
      <w:r>
        <w:rPr>
          <w:rStyle w:val="27"/>
          <w:rFonts w:eastAsia="宋体" w:cs="Times New Roman"/>
          <w:color w:val="000000" w:themeColor="text1"/>
        </w:rPr>
        <w:t>7.1</w:t>
      </w:r>
      <w:r>
        <w:rPr>
          <w:rStyle w:val="27"/>
          <w:rFonts w:hint="eastAsia" w:hAnsi="宋体" w:eastAsia="宋体" w:cs="Times New Roman"/>
          <w:color w:val="000000" w:themeColor="text1"/>
        </w:rPr>
        <w:t>验收监测期间生产工况记录：</w:t>
      </w:r>
      <w:r>
        <w:rPr>
          <w:color w:val="000000" w:themeColor="text1"/>
        </w:rPr>
        <w:tab/>
      </w:r>
      <w:r>
        <w:rPr>
          <w:color w:val="000000" w:themeColor="text1"/>
        </w:rPr>
        <w:fldChar w:fldCharType="begin"/>
      </w:r>
      <w:r>
        <w:rPr>
          <w:color w:val="000000" w:themeColor="text1"/>
        </w:rPr>
        <w:instrText xml:space="preserve"> PAGEREF _Toc4009323 \h </w:instrText>
      </w:r>
      <w:r>
        <w:rPr>
          <w:color w:val="000000" w:themeColor="text1"/>
        </w:rPr>
        <w:fldChar w:fldCharType="separate"/>
      </w:r>
      <w:r>
        <w:rPr>
          <w:color w:val="000000" w:themeColor="text1"/>
        </w:rPr>
        <w:t>17</w:t>
      </w:r>
      <w:r>
        <w:rPr>
          <w:color w:val="000000" w:themeColor="text1"/>
        </w:rPr>
        <w:fldChar w:fldCharType="end"/>
      </w:r>
      <w:r>
        <w:rPr>
          <w:color w:val="000000" w:themeColor="text1"/>
        </w:rPr>
        <w:fldChar w:fldCharType="end"/>
      </w:r>
    </w:p>
    <w:p>
      <w:pPr>
        <w:pStyle w:val="19"/>
        <w:rPr>
          <w:rFonts w:asciiTheme="minorHAnsi" w:hAnsiTheme="minorHAnsi"/>
          <w:color w:val="000000" w:themeColor="text1"/>
          <w:sz w:val="21"/>
        </w:rPr>
      </w:pPr>
      <w:r>
        <w:rPr>
          <w:color w:val="000000" w:themeColor="text1"/>
        </w:rPr>
        <w:fldChar w:fldCharType="begin"/>
      </w:r>
      <w:r>
        <w:rPr>
          <w:color w:val="000000" w:themeColor="text1"/>
        </w:rPr>
        <w:instrText xml:space="preserve"> HYPERLINK \l "_Toc4009324" </w:instrText>
      </w:r>
      <w:r>
        <w:rPr>
          <w:color w:val="000000" w:themeColor="text1"/>
        </w:rPr>
        <w:fldChar w:fldCharType="separate"/>
      </w:r>
      <w:r>
        <w:rPr>
          <w:rStyle w:val="27"/>
          <w:rFonts w:eastAsia="宋体" w:cs="Times New Roman"/>
          <w:color w:val="000000" w:themeColor="text1"/>
        </w:rPr>
        <w:t>7.2</w:t>
      </w:r>
      <w:r>
        <w:rPr>
          <w:rStyle w:val="27"/>
          <w:rFonts w:hint="eastAsia" w:hAnsi="宋体" w:eastAsia="宋体" w:cs="Times New Roman"/>
          <w:color w:val="000000" w:themeColor="text1"/>
        </w:rPr>
        <w:t>污染物排放监测结果：</w:t>
      </w:r>
      <w:r>
        <w:rPr>
          <w:color w:val="000000" w:themeColor="text1"/>
        </w:rPr>
        <w:tab/>
      </w:r>
      <w:r>
        <w:rPr>
          <w:color w:val="000000" w:themeColor="text1"/>
        </w:rPr>
        <w:fldChar w:fldCharType="begin"/>
      </w:r>
      <w:r>
        <w:rPr>
          <w:color w:val="000000" w:themeColor="text1"/>
        </w:rPr>
        <w:instrText xml:space="preserve"> PAGEREF _Toc4009324 \h </w:instrText>
      </w:r>
      <w:r>
        <w:rPr>
          <w:color w:val="000000" w:themeColor="text1"/>
        </w:rPr>
        <w:fldChar w:fldCharType="separate"/>
      </w:r>
      <w:r>
        <w:rPr>
          <w:color w:val="000000" w:themeColor="text1"/>
        </w:rPr>
        <w:t>17</w:t>
      </w:r>
      <w:r>
        <w:rPr>
          <w:color w:val="000000" w:themeColor="text1"/>
        </w:rPr>
        <w:fldChar w:fldCharType="end"/>
      </w:r>
      <w:r>
        <w:rPr>
          <w:color w:val="000000" w:themeColor="text1"/>
        </w:rPr>
        <w:fldChar w:fldCharType="end"/>
      </w:r>
    </w:p>
    <w:p>
      <w:pPr>
        <w:pStyle w:val="17"/>
        <w:rPr>
          <w:rFonts w:asciiTheme="minorHAnsi" w:hAnsiTheme="minorHAnsi"/>
          <w:b w:val="0"/>
          <w:color w:val="000000" w:themeColor="text1"/>
          <w:sz w:val="21"/>
        </w:rPr>
      </w:pPr>
      <w:r>
        <w:rPr>
          <w:color w:val="000000" w:themeColor="text1"/>
        </w:rPr>
        <w:fldChar w:fldCharType="begin"/>
      </w:r>
      <w:r>
        <w:rPr>
          <w:color w:val="000000" w:themeColor="text1"/>
        </w:rPr>
        <w:instrText xml:space="preserve"> HYPERLINK \l "_Toc4009325" </w:instrText>
      </w:r>
      <w:r>
        <w:rPr>
          <w:color w:val="000000" w:themeColor="text1"/>
        </w:rPr>
        <w:fldChar w:fldCharType="separate"/>
      </w:r>
      <w:r>
        <w:rPr>
          <w:rStyle w:val="27"/>
          <w:rFonts w:hint="eastAsia"/>
          <w:color w:val="000000" w:themeColor="text1"/>
        </w:rPr>
        <w:t>表八、验收监测结论</w:t>
      </w:r>
      <w:r>
        <w:rPr>
          <w:color w:val="000000" w:themeColor="text1"/>
        </w:rPr>
        <w:tab/>
      </w:r>
      <w:r>
        <w:rPr>
          <w:color w:val="000000" w:themeColor="text1"/>
        </w:rPr>
        <w:fldChar w:fldCharType="begin"/>
      </w:r>
      <w:r>
        <w:rPr>
          <w:color w:val="000000" w:themeColor="text1"/>
        </w:rPr>
        <w:instrText xml:space="preserve"> PAGEREF _Toc4009325 \h </w:instrText>
      </w:r>
      <w:r>
        <w:rPr>
          <w:color w:val="000000" w:themeColor="text1"/>
        </w:rPr>
        <w:fldChar w:fldCharType="separate"/>
      </w:r>
      <w:r>
        <w:rPr>
          <w:color w:val="000000" w:themeColor="text1"/>
        </w:rPr>
        <w:t>19</w:t>
      </w:r>
      <w:r>
        <w:rPr>
          <w:color w:val="000000" w:themeColor="text1"/>
        </w:rPr>
        <w:fldChar w:fldCharType="end"/>
      </w:r>
      <w:r>
        <w:rPr>
          <w:color w:val="000000" w:themeColor="text1"/>
        </w:rPr>
        <w:fldChar w:fldCharType="end"/>
      </w:r>
    </w:p>
    <w:p>
      <w:pPr>
        <w:rPr>
          <w:rFonts w:hint="eastAsia" w:ascii="宋体" w:hAnsi="宋体" w:eastAsia="宋体" w:cs="宋体"/>
          <w:color w:val="000000" w:themeColor="text1"/>
          <w:sz w:val="28"/>
          <w:szCs w:val="28"/>
        </w:rPr>
      </w:pPr>
      <w:r>
        <w:rPr>
          <w:color w:val="000000" w:themeColor="text1"/>
        </w:rPr>
        <w:fldChar w:fldCharType="end"/>
      </w:r>
      <w:r>
        <w:rPr>
          <w:rFonts w:hint="eastAsia" w:ascii="宋体" w:hAnsi="宋体" w:eastAsia="宋体" w:cs="宋体"/>
          <w:color w:val="000000" w:themeColor="text1"/>
          <w:sz w:val="28"/>
          <w:szCs w:val="28"/>
        </w:rPr>
        <w:t>建设项目工程竣工环境保护“三同时”验收登记表</w:t>
      </w:r>
    </w:p>
    <w:p>
      <w:pPr>
        <w:spacing w:before="240" w:after="120"/>
        <w:rPr>
          <w:rFonts w:hint="default" w:ascii="Times New Roman" w:hAnsi="Times New Roman" w:eastAsia="宋体" w:cs="Times New Roman"/>
          <w:b/>
          <w:color w:val="000000" w:themeColor="text1"/>
          <w:sz w:val="30"/>
          <w:szCs w:val="30"/>
        </w:rPr>
      </w:pPr>
      <w:r>
        <w:rPr>
          <w:rFonts w:hint="default" w:ascii="Times New Roman" w:hAnsi="Times New Roman" w:eastAsia="宋体" w:cs="Times New Roman"/>
          <w:b/>
          <w:color w:val="000000" w:themeColor="text1"/>
          <w:sz w:val="30"/>
          <w:szCs w:val="30"/>
        </w:rPr>
        <w:t>附件</w:t>
      </w:r>
    </w:p>
    <w:p>
      <w:pPr>
        <w:rPr>
          <w:rFonts w:hint="default" w:ascii="Times New Roman" w:hAnsi="Times New Roman" w:eastAsia="宋体" w:cs="Times New Roman"/>
          <w:color w:val="000000" w:themeColor="text1"/>
          <w:sz w:val="28"/>
          <w:szCs w:val="28"/>
        </w:rPr>
      </w:pPr>
      <w:r>
        <w:rPr>
          <w:rFonts w:hint="default" w:ascii="Times New Roman" w:hAnsi="Times New Roman" w:eastAsia="宋体" w:cs="Times New Roman"/>
          <w:color w:val="000000" w:themeColor="text1"/>
          <w:sz w:val="28"/>
          <w:szCs w:val="28"/>
        </w:rPr>
        <w:t>附件1：委托书</w:t>
      </w:r>
    </w:p>
    <w:p>
      <w:pPr>
        <w:rPr>
          <w:rFonts w:hint="default" w:ascii="Times New Roman" w:hAnsi="Times New Roman" w:eastAsia="宋体" w:cs="Times New Roman"/>
          <w:color w:val="000000" w:themeColor="text1"/>
          <w:sz w:val="28"/>
          <w:szCs w:val="28"/>
        </w:rPr>
      </w:pPr>
      <w:r>
        <w:rPr>
          <w:rFonts w:hint="default" w:ascii="Times New Roman" w:hAnsi="Times New Roman" w:eastAsia="宋体" w:cs="Times New Roman"/>
          <w:color w:val="000000" w:themeColor="text1"/>
          <w:sz w:val="28"/>
          <w:szCs w:val="28"/>
        </w:rPr>
        <w:t>附件2：营业执照</w:t>
      </w:r>
    </w:p>
    <w:p>
      <w:pPr>
        <w:rPr>
          <w:rFonts w:hint="default" w:ascii="Times New Roman" w:hAnsi="Times New Roman" w:eastAsia="宋体" w:cs="Times New Roman"/>
          <w:color w:val="000000" w:themeColor="text1"/>
          <w:sz w:val="28"/>
          <w:szCs w:val="28"/>
        </w:rPr>
      </w:pPr>
      <w:r>
        <w:rPr>
          <w:rFonts w:hint="default" w:ascii="Times New Roman" w:hAnsi="Times New Roman" w:eastAsia="宋体" w:cs="Times New Roman"/>
          <w:color w:val="000000" w:themeColor="text1"/>
          <w:sz w:val="28"/>
          <w:szCs w:val="28"/>
        </w:rPr>
        <w:t>附件3：登记表</w:t>
      </w:r>
    </w:p>
    <w:p>
      <w:pPr>
        <w:rPr>
          <w:rFonts w:hint="default" w:ascii="Times New Roman" w:hAnsi="Times New Roman" w:eastAsia="宋体" w:cs="Times New Roman"/>
          <w:color w:val="000000" w:themeColor="text1"/>
          <w:sz w:val="28"/>
          <w:szCs w:val="28"/>
        </w:rPr>
      </w:pPr>
      <w:r>
        <w:rPr>
          <w:rFonts w:hint="default" w:ascii="Times New Roman" w:hAnsi="Times New Roman" w:eastAsia="宋体" w:cs="Times New Roman"/>
          <w:color w:val="000000" w:themeColor="text1"/>
          <w:sz w:val="28"/>
          <w:szCs w:val="28"/>
        </w:rPr>
        <w:t>附件4：备案证明</w:t>
      </w:r>
    </w:p>
    <w:p>
      <w:pPr>
        <w:rPr>
          <w:rFonts w:hint="default" w:ascii="Times New Roman" w:hAnsi="Times New Roman" w:eastAsia="宋体" w:cs="Times New Roman"/>
          <w:color w:val="000000" w:themeColor="text1"/>
          <w:sz w:val="28"/>
          <w:szCs w:val="28"/>
        </w:rPr>
      </w:pPr>
      <w:r>
        <w:rPr>
          <w:rFonts w:hint="default" w:ascii="Times New Roman" w:hAnsi="Times New Roman" w:eastAsia="宋体" w:cs="Times New Roman"/>
          <w:color w:val="000000" w:themeColor="text1"/>
          <w:sz w:val="28"/>
          <w:szCs w:val="28"/>
        </w:rPr>
        <w:t>附件5：工况证明</w:t>
      </w:r>
    </w:p>
    <w:p>
      <w:pPr>
        <w:rPr>
          <w:rFonts w:hint="default" w:ascii="Times New Roman" w:hAnsi="Times New Roman" w:eastAsia="宋体" w:cs="Times New Roman"/>
          <w:bCs/>
          <w:color w:val="000000" w:themeColor="text1"/>
          <w:sz w:val="28"/>
          <w:szCs w:val="28"/>
        </w:rPr>
      </w:pPr>
      <w:r>
        <w:rPr>
          <w:rFonts w:hint="default" w:ascii="Times New Roman" w:hAnsi="Times New Roman" w:eastAsia="宋体" w:cs="Times New Roman"/>
          <w:bCs/>
          <w:color w:val="000000" w:themeColor="text1"/>
          <w:sz w:val="28"/>
          <w:szCs w:val="28"/>
        </w:rPr>
        <w:t>附件6：可行性研究报告</w:t>
      </w:r>
    </w:p>
    <w:p>
      <w:pPr>
        <w:rPr>
          <w:rFonts w:hint="default" w:ascii="Times New Roman" w:hAnsi="Times New Roman" w:eastAsia="宋体" w:cs="Times New Roman"/>
          <w:bCs/>
          <w:color w:val="000000" w:themeColor="text1"/>
          <w:sz w:val="28"/>
          <w:szCs w:val="28"/>
        </w:rPr>
      </w:pPr>
      <w:r>
        <w:rPr>
          <w:rFonts w:hint="default" w:ascii="Times New Roman" w:hAnsi="Times New Roman" w:eastAsia="宋体" w:cs="Times New Roman"/>
          <w:bCs/>
          <w:color w:val="000000" w:themeColor="text1"/>
          <w:sz w:val="28"/>
          <w:szCs w:val="28"/>
        </w:rPr>
        <w:t>附件7：突发环境事件应急预案备案表</w:t>
      </w:r>
    </w:p>
    <w:p>
      <w:pPr>
        <w:rPr>
          <w:rFonts w:hint="default" w:ascii="Times New Roman" w:hAnsi="Times New Roman" w:eastAsia="宋体" w:cs="Times New Roman"/>
          <w:bCs/>
          <w:color w:val="000000" w:themeColor="text1"/>
          <w:sz w:val="28"/>
          <w:szCs w:val="28"/>
          <w:lang w:eastAsia="zh-CN"/>
        </w:rPr>
      </w:pPr>
      <w:r>
        <w:rPr>
          <w:rFonts w:hint="default" w:ascii="Times New Roman" w:hAnsi="Times New Roman" w:eastAsia="宋体" w:cs="Times New Roman"/>
          <w:bCs/>
          <w:color w:val="000000" w:themeColor="text1"/>
          <w:sz w:val="28"/>
          <w:szCs w:val="28"/>
        </w:rPr>
        <w:t>附件8：</w:t>
      </w:r>
      <w:r>
        <w:rPr>
          <w:rFonts w:hint="default" w:ascii="Times New Roman" w:hAnsi="Times New Roman" w:eastAsia="宋体" w:cs="Times New Roman"/>
          <w:bCs/>
          <w:color w:val="000000" w:themeColor="text1"/>
          <w:sz w:val="28"/>
          <w:szCs w:val="28"/>
          <w:lang w:eastAsia="zh-CN"/>
        </w:rPr>
        <w:t>项目施工方案</w:t>
      </w:r>
      <w:r>
        <w:rPr>
          <w:rFonts w:hint="eastAsia" w:ascii="Times New Roman" w:hAnsi="Times New Roman" w:eastAsia="宋体" w:cs="Times New Roman"/>
          <w:bCs/>
          <w:color w:val="000000" w:themeColor="text1"/>
          <w:sz w:val="28"/>
          <w:szCs w:val="28"/>
          <w:lang w:eastAsia="zh-CN"/>
        </w:rPr>
        <w:t>及施工监理合同</w:t>
      </w:r>
    </w:p>
    <w:p>
      <w:pPr>
        <w:rPr>
          <w:rFonts w:hint="default" w:ascii="Times New Roman" w:hAnsi="Times New Roman" w:eastAsia="宋体" w:cs="Times New Roman"/>
          <w:bCs/>
          <w:color w:val="000000" w:themeColor="text1"/>
          <w:sz w:val="28"/>
          <w:szCs w:val="28"/>
          <w:lang w:eastAsia="zh-CN"/>
        </w:rPr>
      </w:pPr>
      <w:r>
        <w:rPr>
          <w:rFonts w:hint="default" w:ascii="Times New Roman" w:hAnsi="Times New Roman" w:eastAsia="宋体" w:cs="Times New Roman"/>
          <w:bCs/>
          <w:color w:val="000000" w:themeColor="text1"/>
          <w:sz w:val="28"/>
          <w:szCs w:val="28"/>
        </w:rPr>
        <w:t>附件9：</w:t>
      </w:r>
      <w:r>
        <w:rPr>
          <w:rFonts w:hint="default" w:ascii="Times New Roman" w:hAnsi="Times New Roman" w:eastAsia="宋体" w:cs="Times New Roman"/>
          <w:bCs/>
          <w:color w:val="000000" w:themeColor="text1"/>
          <w:sz w:val="28"/>
          <w:szCs w:val="28"/>
          <w:lang w:eastAsia="zh-CN"/>
        </w:rPr>
        <w:t>检测方案</w:t>
      </w:r>
    </w:p>
    <w:p>
      <w:pPr>
        <w:pStyle w:val="2"/>
        <w:ind w:left="0" w:leftChars="0" w:firstLine="0" w:firstLineChars="0"/>
        <w:rPr>
          <w:rFonts w:hint="eastAsia" w:ascii="Tahoma" w:hAnsi="Tahoma" w:eastAsia="微软雅黑" w:cstheme="minorBidi"/>
          <w:bCs/>
          <w:color w:val="FF0000"/>
          <w:kern w:val="0"/>
          <w:sz w:val="24"/>
          <w:szCs w:val="24"/>
          <w:lang w:val="en-US" w:eastAsia="zh-CN" w:bidi="ar-SA"/>
        </w:rPr>
        <w:sectPr>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upperRoman" w:start="1"/>
          <w:cols w:space="720" w:num="1"/>
          <w:docGrid w:linePitch="360" w:charSpace="0"/>
        </w:sectPr>
      </w:pPr>
      <w:r>
        <w:rPr>
          <w:rFonts w:hint="default" w:ascii="Times New Roman" w:hAnsi="Times New Roman" w:eastAsia="宋体" w:cs="Times New Roman"/>
          <w:bCs/>
          <w:color w:val="FF0000"/>
          <w:kern w:val="0"/>
          <w:sz w:val="28"/>
          <w:szCs w:val="28"/>
          <w:lang w:val="en-US" w:eastAsia="zh-CN" w:bidi="ar-SA"/>
        </w:rPr>
        <w:t>附件10：验收检测报告</w:t>
      </w:r>
    </w:p>
    <w:p>
      <w:pPr>
        <w:pStyle w:val="8"/>
        <w:rPr>
          <w:color w:val="000000" w:themeColor="text1"/>
        </w:rPr>
      </w:pPr>
      <w:bookmarkStart w:id="2" w:name="_Toc4009300"/>
      <w:r>
        <w:rPr>
          <w:color w:val="000000" w:themeColor="text1"/>
        </w:rPr>
        <w:t>表一</w:t>
      </w:r>
      <w:r>
        <w:rPr>
          <w:rFonts w:hint="eastAsia"/>
          <w:color w:val="000000" w:themeColor="text1"/>
        </w:rPr>
        <w:t>、建设项目概况</w:t>
      </w:r>
      <w:bookmarkEnd w:id="2"/>
    </w:p>
    <w:tbl>
      <w:tblPr>
        <w:tblStyle w:val="22"/>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64"/>
        <w:gridCol w:w="2075"/>
        <w:gridCol w:w="1998"/>
        <w:gridCol w:w="1056"/>
        <w:gridCol w:w="847"/>
        <w:gridCol w:w="12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建设项目名称</w:t>
            </w:r>
          </w:p>
        </w:tc>
        <w:tc>
          <w:tcPr>
            <w:tcW w:w="7260" w:type="dxa"/>
            <w:gridSpan w:val="5"/>
            <w:vAlign w:val="center"/>
          </w:tcPr>
          <w:p>
            <w:pPr>
              <w:spacing w:after="0" w:line="400" w:lineRule="exact"/>
              <w:jc w:val="center"/>
              <w:rPr>
                <w:rFonts w:hint="eastAsia" w:ascii="宋体" w:hAnsi="宋体" w:eastAsia="宋体"/>
                <w:color w:val="000000" w:themeColor="text1"/>
                <w:sz w:val="24"/>
                <w:szCs w:val="24"/>
                <w:lang w:eastAsia="zh-CN"/>
              </w:rPr>
            </w:pPr>
            <w:r>
              <w:rPr>
                <w:rFonts w:hint="eastAsia" w:ascii="宋体" w:hAnsi="宋体" w:eastAsia="宋体"/>
                <w:color w:val="000000" w:themeColor="text1"/>
                <w:sz w:val="24"/>
                <w:szCs w:val="24"/>
                <w:lang w:eastAsia="zh-CN"/>
              </w:rPr>
              <w:t>焦场封闭项目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建设单位名称</w:t>
            </w:r>
          </w:p>
        </w:tc>
        <w:tc>
          <w:tcPr>
            <w:tcW w:w="7260" w:type="dxa"/>
            <w:gridSpan w:val="5"/>
            <w:vAlign w:val="center"/>
          </w:tcPr>
          <w:p>
            <w:pPr>
              <w:spacing w:after="0" w:line="400" w:lineRule="exact"/>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山东潍焦集团薛城能源有限公司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建设项目性质</w:t>
            </w:r>
          </w:p>
        </w:tc>
        <w:tc>
          <w:tcPr>
            <w:tcW w:w="7260" w:type="dxa"/>
            <w:gridSpan w:val="5"/>
            <w:vAlign w:val="center"/>
          </w:tcPr>
          <w:p>
            <w:pPr>
              <w:spacing w:after="0" w:line="400" w:lineRule="exact"/>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新建√   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建设地点</w:t>
            </w:r>
          </w:p>
        </w:tc>
        <w:tc>
          <w:tcPr>
            <w:tcW w:w="7260" w:type="dxa"/>
            <w:gridSpan w:val="5"/>
            <w:vAlign w:val="center"/>
          </w:tcPr>
          <w:p>
            <w:pPr>
              <w:spacing w:after="0" w:line="400" w:lineRule="exact"/>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枣庄市薛城区薛城化工产业园（山东潍焦集团薛城能源有限公司）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主要产品名称</w:t>
            </w:r>
          </w:p>
        </w:tc>
        <w:tc>
          <w:tcPr>
            <w:tcW w:w="7260" w:type="dxa"/>
            <w:gridSpan w:val="5"/>
            <w:vAlign w:val="center"/>
          </w:tcPr>
          <w:p>
            <w:pPr>
              <w:pStyle w:val="13"/>
              <w:snapToGrid w:val="0"/>
              <w:spacing w:line="400" w:lineRule="exact"/>
              <w:jc w:val="center"/>
              <w:rPr>
                <w:rFonts w:hint="eastAsia" w:hAnsi="宋体" w:eastAsia="宋体" w:cs="宋体"/>
                <w:color w:val="000000" w:themeColor="text1"/>
                <w:sz w:val="24"/>
                <w:szCs w:val="24"/>
                <w:lang w:eastAsia="zh-CN"/>
              </w:rPr>
            </w:pPr>
            <w:r>
              <w:rPr>
                <w:rFonts w:hint="eastAsia" w:hAnsi="宋体" w:cs="宋体"/>
                <w:color w:val="000000" w:themeColor="text1"/>
                <w:sz w:val="24"/>
                <w:szCs w:val="24"/>
                <w:lang w:eastAsia="zh-CN"/>
              </w:rPr>
              <w:t>露天焦场环保封闭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设计生产能力</w:t>
            </w:r>
          </w:p>
        </w:tc>
        <w:tc>
          <w:tcPr>
            <w:tcW w:w="7260" w:type="dxa"/>
            <w:gridSpan w:val="5"/>
            <w:vAlign w:val="center"/>
          </w:tcPr>
          <w:p>
            <w:pPr>
              <w:spacing w:after="0" w:line="400" w:lineRule="exact"/>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lang w:eastAsia="zh-CN"/>
              </w:rPr>
              <w:t>封闭面积</w:t>
            </w:r>
            <w:r>
              <w:rPr>
                <w:rFonts w:hint="eastAsia" w:ascii="宋体" w:hAnsi="宋体" w:eastAsia="宋体" w:cs="宋体"/>
                <w:color w:val="000000" w:themeColor="text1"/>
                <w:sz w:val="24"/>
                <w:szCs w:val="24"/>
                <w:lang w:val="en-US" w:eastAsia="zh-CN"/>
              </w:rPr>
              <w:t>36000</w:t>
            </w:r>
            <w:r>
              <w:rPr>
                <w:rFonts w:hint="eastAsia" w:ascii="宋体" w:hAnsi="宋体" w:eastAsia="宋体" w:cs="宋体"/>
                <w:color w:val="000000" w:themeColor="text1"/>
                <w:sz w:val="24"/>
                <w:szCs w:val="24"/>
              </w:rPr>
              <w:t>m</w:t>
            </w:r>
            <w:r>
              <w:rPr>
                <w:rFonts w:hint="eastAsia" w:ascii="宋体" w:hAnsi="宋体" w:eastAsia="宋体" w:cs="宋体"/>
                <w:color w:val="000000" w:themeColor="text1"/>
                <w:sz w:val="24"/>
                <w:szCs w:val="24"/>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实际生产能力</w:t>
            </w:r>
          </w:p>
        </w:tc>
        <w:tc>
          <w:tcPr>
            <w:tcW w:w="7260" w:type="dxa"/>
            <w:gridSpan w:val="5"/>
            <w:vAlign w:val="center"/>
          </w:tcPr>
          <w:p>
            <w:pPr>
              <w:spacing w:after="0" w:line="400" w:lineRule="exact"/>
              <w:jc w:val="center"/>
              <w:rPr>
                <w:rFonts w:ascii="宋体" w:hAnsi="宋体" w:eastAsia="宋体" w:cs="宋体"/>
                <w:color w:val="000000" w:themeColor="text1"/>
                <w:sz w:val="24"/>
                <w:szCs w:val="24"/>
              </w:rPr>
            </w:pPr>
            <w:r>
              <w:rPr>
                <w:rFonts w:hint="eastAsia" w:ascii="宋体" w:hAnsi="宋体" w:eastAsia="宋体" w:cs="宋体"/>
                <w:color w:val="000000" w:themeColor="text1"/>
                <w:sz w:val="24"/>
                <w:szCs w:val="24"/>
                <w:lang w:eastAsia="zh-CN"/>
              </w:rPr>
              <w:t>封闭面积</w:t>
            </w:r>
            <w:r>
              <w:rPr>
                <w:rFonts w:hint="eastAsia" w:ascii="宋体" w:hAnsi="宋体" w:eastAsia="宋体" w:cs="宋体"/>
                <w:color w:val="000000" w:themeColor="text1"/>
                <w:sz w:val="24"/>
                <w:szCs w:val="24"/>
                <w:lang w:val="en-US" w:eastAsia="zh-CN"/>
              </w:rPr>
              <w:t>36000</w:t>
            </w:r>
            <w:r>
              <w:rPr>
                <w:rFonts w:hint="eastAsia" w:ascii="宋体" w:hAnsi="宋体" w:eastAsia="宋体" w:cs="宋体"/>
                <w:color w:val="000000" w:themeColor="text1"/>
                <w:sz w:val="24"/>
                <w:szCs w:val="24"/>
              </w:rPr>
              <w:t>m</w:t>
            </w:r>
            <w:r>
              <w:rPr>
                <w:rFonts w:hint="eastAsia" w:ascii="宋体" w:hAnsi="宋体" w:eastAsia="宋体" w:cs="宋体"/>
                <w:color w:val="000000" w:themeColor="text1"/>
                <w:sz w:val="24"/>
                <w:szCs w:val="24"/>
                <w:vertAlign w:val="superscript"/>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建设项目环评时间</w:t>
            </w:r>
          </w:p>
        </w:tc>
        <w:tc>
          <w:tcPr>
            <w:tcW w:w="2075" w:type="dxa"/>
            <w:vAlign w:val="center"/>
          </w:tcPr>
          <w:p>
            <w:pPr>
              <w:spacing w:after="0" w:line="400" w:lineRule="exact"/>
              <w:jc w:val="center"/>
              <w:rPr>
                <w:rFonts w:hint="default"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t>2020.08.27</w:t>
            </w:r>
          </w:p>
        </w:tc>
        <w:tc>
          <w:tcPr>
            <w:tcW w:w="1998"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开工建设时间</w:t>
            </w:r>
          </w:p>
        </w:tc>
        <w:tc>
          <w:tcPr>
            <w:tcW w:w="3187" w:type="dxa"/>
            <w:gridSpan w:val="3"/>
            <w:vAlign w:val="center"/>
          </w:tcPr>
          <w:p>
            <w:pPr>
              <w:spacing w:after="0" w:line="400" w:lineRule="exact"/>
              <w:jc w:val="center"/>
              <w:rPr>
                <w:rFonts w:hint="default"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t>2020.9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hint="eastAsia" w:ascii="宋体" w:hAnsi="宋体" w:eastAsia="宋体"/>
                <w:color w:val="000000" w:themeColor="text1"/>
                <w:sz w:val="24"/>
                <w:szCs w:val="24"/>
              </w:rPr>
              <w:t>调试</w:t>
            </w:r>
            <w:r>
              <w:rPr>
                <w:rFonts w:ascii="宋体" w:hAnsi="宋体" w:eastAsia="宋体"/>
                <w:color w:val="000000" w:themeColor="text1"/>
                <w:sz w:val="24"/>
                <w:szCs w:val="24"/>
              </w:rPr>
              <w:t>时间</w:t>
            </w:r>
          </w:p>
        </w:tc>
        <w:tc>
          <w:tcPr>
            <w:tcW w:w="2075" w:type="dxa"/>
            <w:vAlign w:val="center"/>
          </w:tcPr>
          <w:p>
            <w:pPr>
              <w:spacing w:after="0" w:line="400" w:lineRule="exact"/>
              <w:jc w:val="center"/>
              <w:rPr>
                <w:rFonts w:hint="eastAsia" w:ascii="宋体" w:hAnsi="宋体" w:eastAsia="宋体"/>
                <w:color w:val="000000" w:themeColor="text1"/>
                <w:sz w:val="24"/>
                <w:szCs w:val="24"/>
                <w:lang w:eastAsia="zh-CN"/>
              </w:rPr>
            </w:pPr>
            <w:r>
              <w:rPr>
                <w:rFonts w:hint="eastAsia" w:ascii="宋体" w:hAnsi="宋体" w:eastAsia="宋体"/>
                <w:color w:val="000000" w:themeColor="text1"/>
                <w:sz w:val="24"/>
                <w:szCs w:val="24"/>
              </w:rPr>
              <w:t>202</w:t>
            </w:r>
            <w:r>
              <w:rPr>
                <w:rFonts w:hint="eastAsia" w:ascii="宋体" w:hAnsi="宋体" w:eastAsia="宋体"/>
                <w:color w:val="000000" w:themeColor="text1"/>
                <w:sz w:val="24"/>
                <w:szCs w:val="24"/>
                <w:lang w:val="en-US" w:eastAsia="zh-CN"/>
              </w:rPr>
              <w:t>1</w:t>
            </w:r>
            <w:r>
              <w:rPr>
                <w:rFonts w:hint="eastAsia" w:ascii="宋体" w:hAnsi="宋体" w:eastAsia="宋体"/>
                <w:color w:val="000000" w:themeColor="text1"/>
                <w:sz w:val="24"/>
                <w:szCs w:val="24"/>
              </w:rPr>
              <w:t>.</w:t>
            </w:r>
            <w:r>
              <w:rPr>
                <w:rFonts w:hint="eastAsia" w:ascii="宋体" w:hAnsi="宋体" w:eastAsia="宋体"/>
                <w:color w:val="000000" w:themeColor="text1"/>
                <w:sz w:val="24"/>
                <w:szCs w:val="24"/>
                <w:lang w:val="en-US" w:eastAsia="zh-CN"/>
              </w:rPr>
              <w:t>9</w:t>
            </w:r>
          </w:p>
        </w:tc>
        <w:tc>
          <w:tcPr>
            <w:tcW w:w="1998" w:type="dxa"/>
            <w:vAlign w:val="center"/>
          </w:tcPr>
          <w:p>
            <w:pPr>
              <w:spacing w:after="0" w:line="400" w:lineRule="exact"/>
              <w:jc w:val="center"/>
              <w:rPr>
                <w:rFonts w:ascii="宋体" w:hAnsi="宋体" w:eastAsia="宋体"/>
                <w:color w:val="000000" w:themeColor="text1"/>
                <w:sz w:val="24"/>
                <w:szCs w:val="24"/>
              </w:rPr>
            </w:pPr>
            <w:r>
              <w:rPr>
                <w:rFonts w:hint="eastAsia" w:ascii="宋体" w:hAnsi="宋体" w:eastAsia="宋体"/>
                <w:color w:val="000000" w:themeColor="text1"/>
                <w:sz w:val="24"/>
                <w:szCs w:val="24"/>
              </w:rPr>
              <w:t>验收</w:t>
            </w:r>
            <w:r>
              <w:rPr>
                <w:rFonts w:ascii="宋体" w:hAnsi="宋体" w:eastAsia="宋体"/>
                <w:color w:val="000000" w:themeColor="text1"/>
                <w:sz w:val="24"/>
                <w:szCs w:val="24"/>
              </w:rPr>
              <w:t>现场监测时间</w:t>
            </w:r>
          </w:p>
        </w:tc>
        <w:tc>
          <w:tcPr>
            <w:tcW w:w="3187" w:type="dxa"/>
            <w:gridSpan w:val="3"/>
            <w:vAlign w:val="center"/>
          </w:tcPr>
          <w:p>
            <w:pPr>
              <w:spacing w:after="0" w:line="400" w:lineRule="exact"/>
              <w:jc w:val="center"/>
              <w:rPr>
                <w:rFonts w:hint="default" w:ascii="宋体" w:hAnsi="宋体" w:eastAsia="宋体"/>
                <w:color w:val="000000" w:themeColor="text1"/>
                <w:sz w:val="24"/>
                <w:szCs w:val="24"/>
                <w:lang w:val="en-US" w:eastAsia="zh-CN"/>
              </w:rPr>
            </w:pPr>
            <w:r>
              <w:rPr>
                <w:rFonts w:hint="eastAsia" w:ascii="宋体" w:hAnsi="宋体" w:eastAsia="宋体"/>
                <w:color w:val="000000" w:themeColor="text1"/>
                <w:sz w:val="24"/>
                <w:szCs w:val="24"/>
              </w:rPr>
              <w:t>2022.</w:t>
            </w:r>
            <w:r>
              <w:rPr>
                <w:rFonts w:hint="eastAsia" w:ascii="宋体" w:hAnsi="宋体" w:eastAsia="宋体"/>
                <w:color w:val="000000" w:themeColor="text1"/>
                <w:sz w:val="24"/>
                <w:szCs w:val="24"/>
                <w:lang w:val="en-US" w:eastAsia="zh-CN"/>
              </w:rPr>
              <w:t>7.26-27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环评</w:t>
            </w:r>
            <w:r>
              <w:rPr>
                <w:rFonts w:hint="eastAsia" w:ascii="宋体" w:hAnsi="宋体" w:eastAsia="宋体"/>
                <w:color w:val="000000" w:themeColor="text1"/>
                <w:sz w:val="24"/>
                <w:szCs w:val="24"/>
              </w:rPr>
              <w:t>登记</w:t>
            </w:r>
            <w:r>
              <w:rPr>
                <w:rFonts w:ascii="宋体" w:hAnsi="宋体" w:eastAsia="宋体"/>
                <w:color w:val="000000" w:themeColor="text1"/>
                <w:sz w:val="24"/>
                <w:szCs w:val="24"/>
              </w:rPr>
              <w:t>表</w:t>
            </w:r>
          </w:p>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审批部门</w:t>
            </w:r>
          </w:p>
        </w:tc>
        <w:tc>
          <w:tcPr>
            <w:tcW w:w="2075" w:type="dxa"/>
            <w:vAlign w:val="center"/>
          </w:tcPr>
          <w:p>
            <w:pPr>
              <w:spacing w:after="0" w:line="400" w:lineRule="exact"/>
              <w:jc w:val="center"/>
              <w:rPr>
                <w:rFonts w:ascii="宋体" w:hAnsi="宋体" w:eastAsia="宋体"/>
                <w:color w:val="000000" w:themeColor="text1"/>
                <w:sz w:val="24"/>
                <w:szCs w:val="24"/>
              </w:rPr>
            </w:pPr>
            <w:r>
              <w:rPr>
                <w:rFonts w:hint="eastAsia" w:ascii="宋体" w:hAnsi="宋体" w:eastAsia="宋体"/>
                <w:color w:val="000000" w:themeColor="text1"/>
                <w:sz w:val="24"/>
                <w:szCs w:val="24"/>
              </w:rPr>
              <w:t>枣庄市生态环境局薛城分局</w:t>
            </w:r>
          </w:p>
        </w:tc>
        <w:tc>
          <w:tcPr>
            <w:tcW w:w="1998"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环评</w:t>
            </w:r>
            <w:r>
              <w:rPr>
                <w:rFonts w:hint="eastAsia" w:ascii="宋体" w:hAnsi="宋体" w:eastAsia="宋体"/>
                <w:color w:val="000000" w:themeColor="text1"/>
                <w:sz w:val="24"/>
                <w:szCs w:val="24"/>
              </w:rPr>
              <w:t>登记</w:t>
            </w:r>
            <w:r>
              <w:rPr>
                <w:rFonts w:ascii="宋体" w:hAnsi="宋体" w:eastAsia="宋体"/>
                <w:color w:val="000000" w:themeColor="text1"/>
                <w:sz w:val="24"/>
                <w:szCs w:val="24"/>
              </w:rPr>
              <w:t>表</w:t>
            </w:r>
          </w:p>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编制单位</w:t>
            </w:r>
          </w:p>
        </w:tc>
        <w:tc>
          <w:tcPr>
            <w:tcW w:w="3187" w:type="dxa"/>
            <w:gridSpan w:val="3"/>
            <w:vAlign w:val="center"/>
          </w:tcPr>
          <w:p>
            <w:pPr>
              <w:spacing w:after="0" w:line="400" w:lineRule="exact"/>
              <w:jc w:val="center"/>
              <w:rPr>
                <w:rFonts w:ascii="宋体" w:hAnsi="宋体" w:eastAsia="宋体"/>
                <w:color w:val="000000" w:themeColor="text1"/>
                <w:sz w:val="24"/>
                <w:szCs w:val="24"/>
              </w:rPr>
            </w:pPr>
            <w:r>
              <w:rPr>
                <w:rFonts w:hint="eastAsia" w:ascii="宋体" w:hAnsi="宋体" w:eastAsia="宋体" w:cs="宋体"/>
                <w:color w:val="000000" w:themeColor="text1"/>
                <w:sz w:val="24"/>
                <w:szCs w:val="24"/>
              </w:rPr>
              <w:t>山东潍焦集团薛城能源有限公司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hint="eastAsia" w:ascii="宋体" w:hAnsi="宋体" w:eastAsia="宋体"/>
                <w:color w:val="000000" w:themeColor="text1"/>
                <w:sz w:val="24"/>
                <w:szCs w:val="24"/>
              </w:rPr>
            </w:pPr>
            <w:r>
              <w:rPr>
                <w:rFonts w:hint="eastAsia" w:ascii="宋体" w:hAnsi="宋体" w:eastAsia="宋体"/>
                <w:color w:val="000000" w:themeColor="text1"/>
                <w:sz w:val="24"/>
                <w:szCs w:val="24"/>
              </w:rPr>
              <w:t>环保设施</w:t>
            </w:r>
          </w:p>
          <w:p>
            <w:pPr>
              <w:spacing w:after="0" w:line="400" w:lineRule="exact"/>
              <w:jc w:val="center"/>
              <w:rPr>
                <w:rFonts w:hint="eastAsia" w:ascii="宋体" w:hAnsi="宋体" w:eastAsia="宋体"/>
                <w:color w:val="000000" w:themeColor="text1"/>
                <w:sz w:val="24"/>
                <w:szCs w:val="24"/>
              </w:rPr>
            </w:pPr>
            <w:r>
              <w:rPr>
                <w:rFonts w:hint="eastAsia" w:ascii="宋体" w:hAnsi="宋体" w:eastAsia="宋体"/>
                <w:color w:val="000000" w:themeColor="text1"/>
                <w:sz w:val="24"/>
                <w:szCs w:val="24"/>
              </w:rPr>
              <w:t>设计单位</w:t>
            </w:r>
          </w:p>
        </w:tc>
        <w:tc>
          <w:tcPr>
            <w:tcW w:w="2075" w:type="dxa"/>
            <w:vAlign w:val="center"/>
          </w:tcPr>
          <w:p>
            <w:pPr>
              <w:spacing w:after="0" w:line="400" w:lineRule="exact"/>
              <w:jc w:val="center"/>
              <w:rPr>
                <w:rFonts w:hint="default" w:ascii="宋体" w:hAnsi="宋体" w:eastAsia="宋体"/>
                <w:color w:val="000000" w:themeColor="text1"/>
                <w:sz w:val="24"/>
                <w:szCs w:val="24"/>
                <w:lang w:val="en-US" w:eastAsia="zh-CN"/>
              </w:rPr>
            </w:pPr>
            <w:r>
              <w:rPr>
                <w:rFonts w:hint="eastAsia" w:ascii="宋体" w:hAnsi="宋体" w:eastAsia="宋体"/>
                <w:color w:val="000000" w:themeColor="text1"/>
                <w:sz w:val="24"/>
                <w:szCs w:val="24"/>
                <w:lang w:eastAsia="zh-CN"/>
              </w:rPr>
              <w:t>湖北天奕工程咨询有限公司</w:t>
            </w:r>
          </w:p>
        </w:tc>
        <w:tc>
          <w:tcPr>
            <w:tcW w:w="1998"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环保设施</w:t>
            </w:r>
          </w:p>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施工单位</w:t>
            </w:r>
          </w:p>
        </w:tc>
        <w:tc>
          <w:tcPr>
            <w:tcW w:w="3187" w:type="dxa"/>
            <w:gridSpan w:val="3"/>
            <w:vAlign w:val="center"/>
          </w:tcPr>
          <w:p>
            <w:pPr>
              <w:spacing w:after="0" w:line="400" w:lineRule="exact"/>
              <w:jc w:val="center"/>
              <w:rPr>
                <w:rFonts w:ascii="宋体" w:hAnsi="宋体" w:eastAsia="宋体"/>
                <w:color w:val="000000" w:themeColor="text1"/>
                <w:sz w:val="24"/>
                <w:szCs w:val="24"/>
              </w:rPr>
            </w:pPr>
            <w:r>
              <w:rPr>
                <w:rFonts w:hint="eastAsia" w:ascii="宋体" w:hAnsi="宋体" w:eastAsia="宋体"/>
                <w:color w:val="000000" w:themeColor="text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投资总概算</w:t>
            </w:r>
          </w:p>
          <w:p>
            <w:pPr>
              <w:spacing w:after="0" w:line="400" w:lineRule="exact"/>
              <w:jc w:val="center"/>
              <w:rPr>
                <w:rFonts w:ascii="宋体" w:hAnsi="宋体" w:eastAsia="宋体"/>
                <w:color w:val="000000" w:themeColor="text1"/>
                <w:sz w:val="24"/>
                <w:szCs w:val="24"/>
              </w:rPr>
            </w:pPr>
            <w:r>
              <w:rPr>
                <w:rFonts w:hint="eastAsia" w:ascii="宋体" w:hAnsi="宋体" w:eastAsia="宋体"/>
                <w:color w:val="000000" w:themeColor="text1"/>
                <w:sz w:val="24"/>
                <w:szCs w:val="24"/>
              </w:rPr>
              <w:t>万元</w:t>
            </w:r>
          </w:p>
        </w:tc>
        <w:tc>
          <w:tcPr>
            <w:tcW w:w="2075" w:type="dxa"/>
            <w:vAlign w:val="center"/>
          </w:tcPr>
          <w:p>
            <w:pPr>
              <w:spacing w:after="0" w:line="400" w:lineRule="exact"/>
              <w:jc w:val="center"/>
              <w:rPr>
                <w:rFonts w:hint="default"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t>4100</w:t>
            </w:r>
          </w:p>
        </w:tc>
        <w:tc>
          <w:tcPr>
            <w:tcW w:w="1998"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环保投资总概算</w:t>
            </w:r>
            <w:r>
              <w:rPr>
                <w:rFonts w:hint="eastAsia" w:ascii="宋体" w:hAnsi="宋体" w:eastAsia="宋体"/>
                <w:color w:val="000000" w:themeColor="text1"/>
                <w:sz w:val="24"/>
                <w:szCs w:val="24"/>
              </w:rPr>
              <w:t>万元</w:t>
            </w:r>
          </w:p>
        </w:tc>
        <w:tc>
          <w:tcPr>
            <w:tcW w:w="1056" w:type="dxa"/>
            <w:vAlign w:val="center"/>
          </w:tcPr>
          <w:p>
            <w:pPr>
              <w:spacing w:after="0" w:line="400" w:lineRule="exact"/>
              <w:jc w:val="center"/>
              <w:rPr>
                <w:rFonts w:hint="default"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t>4100</w:t>
            </w:r>
          </w:p>
        </w:tc>
        <w:tc>
          <w:tcPr>
            <w:tcW w:w="847"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比例</w:t>
            </w:r>
          </w:p>
        </w:tc>
        <w:tc>
          <w:tcPr>
            <w:tcW w:w="1284" w:type="dxa"/>
            <w:vAlign w:val="center"/>
          </w:tcPr>
          <w:p>
            <w:pPr>
              <w:spacing w:after="0" w:line="400" w:lineRule="exact"/>
              <w:jc w:val="center"/>
              <w:rPr>
                <w:rFonts w:ascii="宋体" w:hAnsi="宋体" w:eastAsia="宋体"/>
                <w:color w:val="000000" w:themeColor="text1"/>
                <w:sz w:val="24"/>
                <w:szCs w:val="24"/>
              </w:rPr>
            </w:pPr>
            <w:r>
              <w:rPr>
                <w:rFonts w:hint="eastAsia" w:ascii="宋体" w:hAnsi="宋体" w:eastAsia="宋体"/>
                <w:color w:val="000000" w:themeColor="text1"/>
                <w:sz w:val="24"/>
                <w:szCs w:val="24"/>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664"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实际总</w:t>
            </w:r>
            <w:r>
              <w:rPr>
                <w:rFonts w:hint="eastAsia" w:ascii="宋体" w:hAnsi="宋体" w:eastAsia="宋体"/>
                <w:color w:val="000000" w:themeColor="text1"/>
                <w:sz w:val="24"/>
                <w:szCs w:val="24"/>
              </w:rPr>
              <w:t>投资</w:t>
            </w:r>
          </w:p>
          <w:p>
            <w:pPr>
              <w:spacing w:after="0" w:line="400" w:lineRule="exact"/>
              <w:jc w:val="center"/>
              <w:rPr>
                <w:rFonts w:ascii="宋体" w:hAnsi="宋体" w:eastAsia="宋体"/>
                <w:color w:val="000000" w:themeColor="text1"/>
                <w:sz w:val="24"/>
                <w:szCs w:val="24"/>
              </w:rPr>
            </w:pPr>
            <w:r>
              <w:rPr>
                <w:rFonts w:hint="eastAsia" w:ascii="宋体" w:hAnsi="宋体" w:eastAsia="宋体"/>
                <w:color w:val="000000" w:themeColor="text1"/>
                <w:sz w:val="24"/>
                <w:szCs w:val="24"/>
              </w:rPr>
              <w:t>万元</w:t>
            </w:r>
          </w:p>
        </w:tc>
        <w:tc>
          <w:tcPr>
            <w:tcW w:w="2075" w:type="dxa"/>
            <w:vAlign w:val="center"/>
          </w:tcPr>
          <w:p>
            <w:pPr>
              <w:spacing w:after="0" w:line="400" w:lineRule="exact"/>
              <w:jc w:val="center"/>
              <w:rPr>
                <w:rFonts w:hint="default"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t>3858</w:t>
            </w:r>
          </w:p>
        </w:tc>
        <w:tc>
          <w:tcPr>
            <w:tcW w:w="1998"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环保投资</w:t>
            </w:r>
            <w:r>
              <w:rPr>
                <w:rFonts w:hint="eastAsia" w:ascii="宋体" w:hAnsi="宋体" w:eastAsia="宋体"/>
                <w:color w:val="000000" w:themeColor="text1"/>
                <w:sz w:val="24"/>
                <w:szCs w:val="24"/>
              </w:rPr>
              <w:t>万元</w:t>
            </w:r>
          </w:p>
        </w:tc>
        <w:tc>
          <w:tcPr>
            <w:tcW w:w="1056" w:type="dxa"/>
            <w:vAlign w:val="center"/>
          </w:tcPr>
          <w:p>
            <w:pPr>
              <w:spacing w:after="0" w:line="400" w:lineRule="exact"/>
              <w:jc w:val="center"/>
              <w:rPr>
                <w:rFonts w:hint="default"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t>3858</w:t>
            </w:r>
          </w:p>
        </w:tc>
        <w:tc>
          <w:tcPr>
            <w:tcW w:w="847" w:type="dxa"/>
            <w:vAlign w:val="center"/>
          </w:tcPr>
          <w:p>
            <w:pPr>
              <w:spacing w:after="0" w:line="400" w:lineRule="exact"/>
              <w:jc w:val="center"/>
              <w:rPr>
                <w:rFonts w:ascii="宋体" w:hAnsi="宋体" w:eastAsia="宋体"/>
                <w:color w:val="000000" w:themeColor="text1"/>
                <w:sz w:val="24"/>
                <w:szCs w:val="24"/>
              </w:rPr>
            </w:pPr>
            <w:r>
              <w:rPr>
                <w:rFonts w:ascii="宋体" w:hAnsi="宋体" w:eastAsia="宋体"/>
                <w:color w:val="000000" w:themeColor="text1"/>
                <w:sz w:val="24"/>
                <w:szCs w:val="24"/>
              </w:rPr>
              <w:t>比例</w:t>
            </w:r>
          </w:p>
        </w:tc>
        <w:tc>
          <w:tcPr>
            <w:tcW w:w="1284" w:type="dxa"/>
            <w:vAlign w:val="center"/>
          </w:tcPr>
          <w:p>
            <w:pPr>
              <w:spacing w:after="0" w:line="400" w:lineRule="exact"/>
              <w:jc w:val="center"/>
              <w:rPr>
                <w:rFonts w:ascii="宋体" w:hAnsi="宋体" w:eastAsia="宋体"/>
                <w:color w:val="000000" w:themeColor="text1"/>
                <w:sz w:val="24"/>
                <w:szCs w:val="24"/>
              </w:rPr>
            </w:pPr>
            <w:r>
              <w:rPr>
                <w:rFonts w:hint="eastAsia" w:ascii="宋体" w:hAnsi="宋体" w:eastAsia="宋体"/>
                <w:color w:val="000000" w:themeColor="text1"/>
                <w:sz w:val="24"/>
                <w:szCs w:val="24"/>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1664" w:type="dxa"/>
            <w:vAlign w:val="center"/>
          </w:tcPr>
          <w:p>
            <w:pPr>
              <w:spacing w:after="0"/>
              <w:jc w:val="center"/>
              <w:rPr>
                <w:rFonts w:ascii="宋体" w:hAnsi="宋体" w:eastAsia="宋体"/>
                <w:color w:val="000000" w:themeColor="text1"/>
                <w:sz w:val="24"/>
                <w:szCs w:val="24"/>
              </w:rPr>
            </w:pPr>
            <w:r>
              <w:rPr>
                <w:rFonts w:ascii="宋体" w:hAnsi="宋体" w:eastAsia="宋体"/>
                <w:color w:val="000000" w:themeColor="text1"/>
                <w:sz w:val="24"/>
                <w:szCs w:val="24"/>
              </w:rPr>
              <w:t>验收监测依据</w:t>
            </w:r>
          </w:p>
        </w:tc>
        <w:tc>
          <w:tcPr>
            <w:tcW w:w="7260"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1.《国务院关于修改&lt;建设项目环境保护管理条例&gt;的决定》（国务院令[2017]第682号）；</w:t>
            </w:r>
          </w:p>
          <w:p>
            <w:pPr>
              <w:keepNext w:val="0"/>
              <w:keepLines w:val="0"/>
              <w:pageBreakBefore w:val="0"/>
              <w:kinsoku/>
              <w:wordWrap/>
              <w:overflowPunct/>
              <w:topLinePunct w:val="0"/>
              <w:autoSpaceDE/>
              <w:autoSpaceDN/>
              <w:bidi w:val="0"/>
              <w:spacing w:after="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2.《关于规范建设单位自主开展建设项目竣工环境保护验收的通知》（征求意见稿）；</w:t>
            </w:r>
          </w:p>
          <w:p>
            <w:pPr>
              <w:keepNext w:val="0"/>
              <w:keepLines w:val="0"/>
              <w:pageBreakBefore w:val="0"/>
              <w:kinsoku/>
              <w:wordWrap/>
              <w:overflowPunct/>
              <w:topLinePunct w:val="0"/>
              <w:autoSpaceDE/>
              <w:autoSpaceDN/>
              <w:bidi w:val="0"/>
              <w:spacing w:after="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3.《建设项目竣工环境保护验收技术指南  污染影响类》（2018.5.15）；</w:t>
            </w:r>
          </w:p>
          <w:p>
            <w:pPr>
              <w:keepNext w:val="0"/>
              <w:keepLines w:val="0"/>
              <w:pageBreakBefore w:val="0"/>
              <w:kinsoku/>
              <w:wordWrap/>
              <w:overflowPunct/>
              <w:topLinePunct w:val="0"/>
              <w:autoSpaceDE/>
              <w:autoSpaceDN/>
              <w:bidi w:val="0"/>
              <w:spacing w:after="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4.《关于印发＜污染影响类建设项目重大变动清单（试行）＞的通知》（环办环评函[2020]688号 2020.12.13）；</w:t>
            </w:r>
          </w:p>
          <w:p>
            <w:pPr>
              <w:keepNext w:val="0"/>
              <w:keepLines w:val="0"/>
              <w:pageBreakBefore w:val="0"/>
              <w:kinsoku/>
              <w:wordWrap/>
              <w:overflowPunct/>
              <w:topLinePunct w:val="0"/>
              <w:autoSpaceDE/>
              <w:autoSpaceDN/>
              <w:bidi w:val="0"/>
              <w:spacing w:after="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5.《建设项目竣工环境保护验收暂行办法》（国环规环评[2017]4号）；</w:t>
            </w:r>
          </w:p>
          <w:p>
            <w:pPr>
              <w:keepNext w:val="0"/>
              <w:keepLines w:val="0"/>
              <w:pageBreakBefore w:val="0"/>
              <w:kinsoku/>
              <w:wordWrap/>
              <w:overflowPunct/>
              <w:topLinePunct w:val="0"/>
              <w:autoSpaceDE/>
              <w:autoSpaceDN/>
              <w:bidi w:val="0"/>
              <w:spacing w:after="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6.《建设项目环境影响评价分类管理名录》；</w:t>
            </w:r>
          </w:p>
          <w:p>
            <w:pPr>
              <w:pStyle w:val="2"/>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7.《国家危险废物管理名录》（2020.11.5）；</w:t>
            </w:r>
          </w:p>
          <w:p>
            <w:pPr>
              <w:pStyle w:val="2"/>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lang w:eastAsia="zh-CN"/>
              </w:rPr>
              <w:t>焦场封闭项目</w:t>
            </w:r>
            <w:r>
              <w:rPr>
                <w:rFonts w:hint="default" w:ascii="Times New Roman" w:hAnsi="Times New Roman" w:eastAsia="宋体" w:cs="Times New Roman"/>
                <w:sz w:val="24"/>
                <w:szCs w:val="24"/>
              </w:rPr>
              <w:t>环境影响登记表》（</w:t>
            </w:r>
            <w:r>
              <w:rPr>
                <w:rFonts w:hint="default" w:ascii="Times New Roman" w:hAnsi="Times New Roman" w:eastAsia="宋体" w:cs="Times New Roman"/>
                <w:sz w:val="24"/>
                <w:szCs w:val="24"/>
                <w:lang w:eastAsia="zh-CN"/>
              </w:rPr>
              <w:t>2020年8月27日</w:t>
            </w:r>
            <w:r>
              <w:rPr>
                <w:rFonts w:hint="default" w:ascii="Times New Roman" w:hAnsi="Times New Roman" w:eastAsia="宋体" w:cs="Times New Roman"/>
                <w:sz w:val="24"/>
                <w:szCs w:val="24"/>
              </w:rPr>
              <w:t>）；</w:t>
            </w:r>
          </w:p>
          <w:p>
            <w:pPr>
              <w:keepNext w:val="0"/>
              <w:keepLines w:val="0"/>
              <w:pageBreakBefore w:val="0"/>
              <w:kinsoku/>
              <w:wordWrap/>
              <w:overflowPunct/>
              <w:topLinePunct w:val="0"/>
              <w:autoSpaceDE/>
              <w:autoSpaceDN/>
              <w:bidi w:val="0"/>
              <w:spacing w:after="0" w:line="36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9.《山东潍焦集团薛城能源有限公司</w:t>
            </w:r>
            <w:r>
              <w:rPr>
                <w:rFonts w:hint="default" w:ascii="Times New Roman" w:hAnsi="Times New Roman" w:eastAsia="宋体" w:cs="Times New Roman"/>
                <w:sz w:val="24"/>
                <w:szCs w:val="24"/>
                <w:lang w:eastAsia="zh-CN"/>
              </w:rPr>
              <w:t>焦场封闭项目</w:t>
            </w:r>
            <w:r>
              <w:rPr>
                <w:rFonts w:hint="default" w:ascii="Times New Roman" w:hAnsi="Times New Roman" w:eastAsia="宋体" w:cs="Times New Roman"/>
                <w:sz w:val="24"/>
                <w:szCs w:val="24"/>
              </w:rPr>
              <w:t>可行性研究报告》（</w:t>
            </w:r>
            <w:r>
              <w:rPr>
                <w:rFonts w:hint="default" w:ascii="Times New Roman" w:hAnsi="Times New Roman" w:eastAsia="宋体" w:cs="Times New Roman"/>
                <w:sz w:val="24"/>
                <w:szCs w:val="24"/>
                <w:lang w:eastAsia="zh-CN"/>
              </w:rPr>
              <w:t>湖北天奕工程咨询有限公司</w:t>
            </w:r>
            <w:r>
              <w:rPr>
                <w:rFonts w:hint="default" w:ascii="Times New Roman" w:hAnsi="Times New Roman" w:eastAsia="宋体" w:cs="Times New Roman"/>
                <w:sz w:val="24"/>
                <w:szCs w:val="24"/>
              </w:rPr>
              <w:t>，202</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eastAsia="zh-CN"/>
              </w:rPr>
              <w:t>；</w:t>
            </w:r>
          </w:p>
          <w:p>
            <w:pPr>
              <w:pStyle w:val="2"/>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kern w:val="0"/>
                <w:sz w:val="24"/>
                <w:szCs w:val="24"/>
                <w:lang w:val="en-US" w:eastAsia="zh-CN" w:bidi="ar-SA"/>
              </w:rPr>
              <w:t>《山东潍焦集团薛城能源有限公司焦场封闭项目施工方案》；</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default"/>
                <w:lang w:val="en-US" w:eastAsia="zh-CN"/>
              </w:rPr>
            </w:pPr>
            <w:r>
              <w:rPr>
                <w:rFonts w:hint="default" w:ascii="Times New Roman" w:hAnsi="Times New Roman" w:eastAsia="宋体" w:cs="Times New Roman"/>
                <w:kern w:val="0"/>
                <w:sz w:val="24"/>
                <w:szCs w:val="24"/>
                <w:lang w:val="en-US" w:eastAsia="zh-CN" w:bidi="ar-SA"/>
              </w:rPr>
              <w:t>11.《山东潍焦集团薛城能源有限公司焦场封闭项目施工监理报告》</w:t>
            </w:r>
            <w:r>
              <w:rPr>
                <w:rFonts w:hint="eastAsia" w:ascii="Times New Roman" w:hAnsi="Times New Roman" w:eastAsia="宋体" w:cs="Times New Roman"/>
                <w:kern w:val="0"/>
                <w:sz w:val="24"/>
                <w:szCs w:val="24"/>
                <w:lang w:val="en-US" w:eastAsia="zh-CN" w:bidi="ar-SA"/>
              </w:rPr>
              <w:t>（山东齐鲁城市建设管理有限公司）</w:t>
            </w:r>
            <w:r>
              <w:rPr>
                <w:rFonts w:hint="default" w:ascii="Times New Roman" w:hAnsi="Times New Roman" w:eastAsia="宋体" w:cs="Times New Roman"/>
                <w:kern w:val="0"/>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3" w:hRule="atLeast"/>
          <w:jc w:val="center"/>
        </w:trPr>
        <w:tc>
          <w:tcPr>
            <w:tcW w:w="1664" w:type="dxa"/>
            <w:vAlign w:val="center"/>
          </w:tcPr>
          <w:p>
            <w:pPr>
              <w:spacing w:after="0" w:line="360" w:lineRule="auto"/>
              <w:jc w:val="center"/>
              <w:rPr>
                <w:rFonts w:ascii="宋体" w:hAnsi="宋体" w:eastAsia="宋体"/>
                <w:color w:val="000000" w:themeColor="text1"/>
                <w:sz w:val="24"/>
                <w:szCs w:val="24"/>
              </w:rPr>
            </w:pPr>
            <w:r>
              <w:rPr>
                <w:rFonts w:ascii="宋体" w:hAnsi="宋体" w:eastAsia="宋体"/>
                <w:color w:val="000000" w:themeColor="text1"/>
                <w:sz w:val="24"/>
                <w:szCs w:val="24"/>
              </w:rPr>
              <w:t>验收监测评价标准、标号、级别、限值</w:t>
            </w:r>
          </w:p>
        </w:tc>
        <w:tc>
          <w:tcPr>
            <w:tcW w:w="7260" w:type="dxa"/>
            <w:gridSpan w:val="5"/>
            <w:vAlign w:val="center"/>
          </w:tcPr>
          <w:p>
            <w:pPr>
              <w:pStyle w:val="11"/>
              <w:adjustRightInd w:val="0"/>
              <w:snapToGrid w:val="0"/>
              <w:spacing w:line="360" w:lineRule="auto"/>
              <w:ind w:firstLine="480"/>
              <w:rPr>
                <w:rFonts w:cs="Times New Roman"/>
                <w:color w:val="000000" w:themeColor="text1"/>
                <w:sz w:val="24"/>
              </w:rPr>
            </w:pPr>
            <w:r>
              <w:rPr>
                <w:rFonts w:hint="eastAsia" w:ascii="宋体" w:hAnsi="宋体" w:cs="宋体"/>
                <w:snapToGrid w:val="0"/>
                <w:color w:val="000000" w:themeColor="text1"/>
                <w:sz w:val="24"/>
              </w:rPr>
              <w:t>根据环境影响登记表及其可行性研究报告要求以及现行的标准要求，确定本次验收项目执行标准，主要包括以下污染物排放标准：</w:t>
            </w:r>
          </w:p>
          <w:p>
            <w:pPr>
              <w:pStyle w:val="11"/>
              <w:adjustRightInd w:val="0"/>
              <w:snapToGrid w:val="0"/>
              <w:spacing w:line="360" w:lineRule="auto"/>
              <w:ind w:firstLine="480"/>
              <w:rPr>
                <w:rFonts w:cs="Times New Roman"/>
                <w:color w:val="000000" w:themeColor="text1"/>
                <w:sz w:val="24"/>
              </w:rPr>
            </w:pPr>
            <w:r>
              <w:rPr>
                <w:rFonts w:hint="eastAsia" w:ascii="宋体" w:hAnsi="宋体" w:cs="宋体"/>
                <w:snapToGrid w:val="0"/>
                <w:color w:val="000000" w:themeColor="text1"/>
                <w:sz w:val="24"/>
              </w:rPr>
              <w:t>1、</w:t>
            </w:r>
            <w:r>
              <w:rPr>
                <w:rFonts w:hint="eastAsia" w:ascii="宋体" w:hAnsi="宋体" w:cs="宋体"/>
                <w:snapToGrid w:val="0"/>
                <w:color w:val="000000" w:themeColor="text1"/>
                <w:sz w:val="24"/>
                <w:lang w:val="en-US" w:eastAsia="zh-CN"/>
              </w:rPr>
              <w:t>无组织</w:t>
            </w:r>
            <w:r>
              <w:rPr>
                <w:rFonts w:hint="eastAsia" w:ascii="宋体" w:hAnsi="宋体" w:cs="宋体"/>
                <w:snapToGrid w:val="0"/>
                <w:color w:val="000000" w:themeColor="text1"/>
                <w:sz w:val="24"/>
              </w:rPr>
              <w:t>废气执行《大气污染物综合排放标准》（GB 16297-1996）</w:t>
            </w:r>
            <w:r>
              <w:rPr>
                <w:rFonts w:hint="eastAsia" w:ascii="宋体" w:hAnsi="宋体" w:cs="宋体"/>
                <w:snapToGrid w:val="0"/>
                <w:color w:val="000000" w:themeColor="text1"/>
                <w:sz w:val="24"/>
                <w:lang w:val="en-US" w:eastAsia="zh-CN"/>
              </w:rPr>
              <w:t>表2无组织排放监控浓度</w:t>
            </w:r>
            <w:r>
              <w:rPr>
                <w:rFonts w:hint="eastAsia" w:ascii="宋体" w:hAnsi="宋体" w:cs="宋体"/>
                <w:snapToGrid w:val="0"/>
                <w:color w:val="000000" w:themeColor="text1"/>
                <w:sz w:val="24"/>
              </w:rPr>
              <w:t>限值要求。详见</w:t>
            </w:r>
            <w:r>
              <w:rPr>
                <w:rFonts w:hAnsi="宋体" w:cs="Times New Roman"/>
                <w:color w:val="000000" w:themeColor="text1"/>
                <w:sz w:val="24"/>
              </w:rPr>
              <w:t>表</w:t>
            </w:r>
            <w:r>
              <w:rPr>
                <w:rFonts w:cs="Times New Roman"/>
                <w:color w:val="000000" w:themeColor="text1"/>
                <w:sz w:val="24"/>
              </w:rPr>
              <w:t>1-1</w:t>
            </w:r>
            <w:r>
              <w:rPr>
                <w:rFonts w:hAnsi="宋体" w:cs="Times New Roman"/>
                <w:color w:val="000000" w:themeColor="text1"/>
                <w:sz w:val="24"/>
              </w:rPr>
              <w:t>。</w:t>
            </w:r>
          </w:p>
          <w:p>
            <w:pPr>
              <w:pStyle w:val="11"/>
              <w:adjustRightInd w:val="0"/>
              <w:snapToGrid w:val="0"/>
              <w:spacing w:line="360" w:lineRule="auto"/>
              <w:ind w:firstLine="0" w:firstLineChars="0"/>
              <w:jc w:val="center"/>
              <w:rPr>
                <w:rFonts w:hAnsi="宋体" w:cs="Times New Roman"/>
                <w:color w:val="000000" w:themeColor="text1"/>
                <w:sz w:val="24"/>
              </w:rPr>
            </w:pPr>
            <w:r>
              <w:rPr>
                <w:rFonts w:hAnsi="宋体" w:cs="Times New Roman"/>
                <w:color w:val="000000" w:themeColor="text1"/>
                <w:sz w:val="24"/>
              </w:rPr>
              <w:t>表</w:t>
            </w:r>
            <w:r>
              <w:rPr>
                <w:rFonts w:cs="Times New Roman"/>
                <w:color w:val="000000" w:themeColor="text1"/>
                <w:sz w:val="24"/>
              </w:rPr>
              <w:t xml:space="preserve">1-1 </w:t>
            </w:r>
            <w:r>
              <w:rPr>
                <w:rFonts w:hint="eastAsia" w:cs="Times New Roman"/>
                <w:color w:val="000000" w:themeColor="text1"/>
                <w:sz w:val="24"/>
              </w:rPr>
              <w:t>有组织</w:t>
            </w:r>
            <w:r>
              <w:rPr>
                <w:rFonts w:hint="eastAsia" w:hAnsi="宋体" w:cs="Times New Roman"/>
                <w:color w:val="000000" w:themeColor="text1"/>
                <w:sz w:val="24"/>
              </w:rPr>
              <w:t>废气污染物标准限值</w:t>
            </w:r>
          </w:p>
          <w:tbl>
            <w:tblPr>
              <w:tblStyle w:val="23"/>
              <w:tblW w:w="499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3170"/>
              <w:gridCol w:w="16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578" w:type="pct"/>
                  <w:tcBorders>
                    <w:tl2br w:val="nil"/>
                    <w:tr2bl w:val="nil"/>
                  </w:tcBorders>
                  <w:vAlign w:val="center"/>
                </w:tcPr>
                <w:p>
                  <w:pPr>
                    <w:pStyle w:val="11"/>
                    <w:adjustRightInd w:val="0"/>
                    <w:snapToGrid w:val="0"/>
                    <w:ind w:firstLine="0" w:firstLineChars="0"/>
                    <w:jc w:val="center"/>
                    <w:rPr>
                      <w:rFonts w:cs="Times New Roman"/>
                      <w:color w:val="000000" w:themeColor="text1"/>
                      <w:szCs w:val="21"/>
                    </w:rPr>
                  </w:pPr>
                  <w:r>
                    <w:rPr>
                      <w:rFonts w:hint="eastAsia" w:cs="Times New Roman"/>
                      <w:color w:val="000000" w:themeColor="text1"/>
                      <w:szCs w:val="21"/>
                    </w:rPr>
                    <w:t>项目名称</w:t>
                  </w:r>
                </w:p>
              </w:tc>
              <w:tc>
                <w:tcPr>
                  <w:tcW w:w="2250" w:type="pct"/>
                  <w:tcBorders>
                    <w:tl2br w:val="nil"/>
                    <w:tr2bl w:val="nil"/>
                  </w:tcBorders>
                  <w:vAlign w:val="center"/>
                </w:tcPr>
                <w:p>
                  <w:pPr>
                    <w:pStyle w:val="2"/>
                    <w:spacing w:after="0"/>
                    <w:ind w:left="0" w:leftChars="0" w:firstLine="0" w:firstLineChars="0"/>
                    <w:jc w:val="center"/>
                    <w:rPr>
                      <w:color w:val="000000" w:themeColor="text1"/>
                      <w:szCs w:val="21"/>
                    </w:rPr>
                  </w:pPr>
                  <w:r>
                    <w:rPr>
                      <w:rFonts w:hint="eastAsia"/>
                      <w:color w:val="000000" w:themeColor="text1"/>
                      <w:szCs w:val="21"/>
                    </w:rPr>
                    <w:t>限值要求（mg/m</w:t>
                  </w:r>
                  <w:r>
                    <w:rPr>
                      <w:rFonts w:hint="eastAsia"/>
                      <w:color w:val="000000" w:themeColor="text1"/>
                      <w:szCs w:val="21"/>
                      <w:vertAlign w:val="superscript"/>
                    </w:rPr>
                    <w:t>3</w:t>
                  </w:r>
                  <w:r>
                    <w:rPr>
                      <w:rFonts w:hint="eastAsia"/>
                      <w:color w:val="000000" w:themeColor="text1"/>
                      <w:szCs w:val="21"/>
                    </w:rPr>
                    <w:t>）</w:t>
                  </w:r>
                </w:p>
              </w:tc>
              <w:tc>
                <w:tcPr>
                  <w:tcW w:w="1171" w:type="pct"/>
                  <w:tcBorders>
                    <w:tl2br w:val="nil"/>
                    <w:tr2bl w:val="nil"/>
                  </w:tcBorders>
                  <w:vAlign w:val="center"/>
                </w:tcPr>
                <w:p>
                  <w:pPr>
                    <w:pStyle w:val="11"/>
                    <w:adjustRightInd w:val="0"/>
                    <w:snapToGrid w:val="0"/>
                    <w:ind w:firstLine="0" w:firstLineChars="0"/>
                    <w:jc w:val="center"/>
                    <w:rPr>
                      <w:rFonts w:cs="Times New Roman"/>
                      <w:color w:val="000000" w:themeColor="text1"/>
                      <w:szCs w:val="21"/>
                    </w:rPr>
                  </w:pPr>
                  <w:r>
                    <w:rPr>
                      <w:rFonts w:cs="Times New Roman"/>
                      <w:color w:val="000000" w:themeColor="text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578" w:type="pct"/>
                  <w:tcBorders>
                    <w:tl2br w:val="nil"/>
                    <w:tr2bl w:val="nil"/>
                  </w:tcBorders>
                  <w:vAlign w:val="center"/>
                </w:tcPr>
                <w:p>
                  <w:pPr>
                    <w:pStyle w:val="11"/>
                    <w:adjustRightInd w:val="0"/>
                    <w:snapToGrid w:val="0"/>
                    <w:ind w:firstLine="0" w:firstLineChars="0"/>
                    <w:jc w:val="center"/>
                    <w:rPr>
                      <w:rFonts w:cs="Times New Roman"/>
                      <w:color w:val="000000" w:themeColor="text1"/>
                      <w:szCs w:val="21"/>
                    </w:rPr>
                  </w:pPr>
                  <w:r>
                    <w:rPr>
                      <w:rFonts w:hint="eastAsia" w:cs="Times New Roman"/>
                      <w:color w:val="000000" w:themeColor="text1"/>
                      <w:szCs w:val="21"/>
                    </w:rPr>
                    <w:t>颗粒物</w:t>
                  </w:r>
                </w:p>
              </w:tc>
              <w:tc>
                <w:tcPr>
                  <w:tcW w:w="2250" w:type="pct"/>
                  <w:tcBorders>
                    <w:tl2br w:val="nil"/>
                    <w:tr2bl w:val="nil"/>
                  </w:tcBorders>
                  <w:vAlign w:val="center"/>
                </w:tcPr>
                <w:p>
                  <w:pPr>
                    <w:pStyle w:val="11"/>
                    <w:adjustRightInd w:val="0"/>
                    <w:snapToGrid w:val="0"/>
                    <w:ind w:firstLine="0" w:firstLineChars="0"/>
                    <w:jc w:val="center"/>
                    <w:rPr>
                      <w:rFonts w:hint="default" w:eastAsia="宋体" w:cs="Times New Roman"/>
                      <w:color w:val="000000" w:themeColor="text1"/>
                      <w:szCs w:val="21"/>
                      <w:lang w:val="en-US" w:eastAsia="zh-CN"/>
                    </w:rPr>
                  </w:pPr>
                  <w:r>
                    <w:rPr>
                      <w:rFonts w:hint="eastAsia" w:cs="Times New Roman"/>
                      <w:color w:val="000000" w:themeColor="text1"/>
                      <w:szCs w:val="21"/>
                      <w:lang w:val="en-US" w:eastAsia="zh-CN"/>
                    </w:rPr>
                    <w:t>1.0</w:t>
                  </w:r>
                </w:p>
              </w:tc>
              <w:tc>
                <w:tcPr>
                  <w:tcW w:w="1171" w:type="pct"/>
                  <w:tcBorders>
                    <w:tl2br w:val="nil"/>
                    <w:tr2bl w:val="nil"/>
                  </w:tcBorders>
                  <w:vAlign w:val="center"/>
                </w:tcPr>
                <w:p>
                  <w:pPr>
                    <w:pStyle w:val="11"/>
                    <w:adjustRightInd w:val="0"/>
                    <w:snapToGrid w:val="0"/>
                    <w:jc w:val="center"/>
                    <w:rPr>
                      <w:rFonts w:cs="Times New Roman"/>
                      <w:color w:val="000000" w:themeColor="text1"/>
                      <w:szCs w:val="21"/>
                    </w:rPr>
                  </w:pPr>
                </w:p>
              </w:tc>
            </w:tr>
          </w:tbl>
          <w:p>
            <w:pPr>
              <w:spacing w:after="0" w:line="360" w:lineRule="auto"/>
              <w:ind w:firstLine="480" w:firstLineChars="200"/>
              <w:jc w:val="both"/>
              <w:rPr>
                <w:rFonts w:hint="eastAsia" w:ascii="Times New Roman" w:hAnsi="Times New Roman" w:eastAsia="宋体" w:cs="Times New Roman"/>
                <w:color w:val="FF0000"/>
                <w:sz w:val="24"/>
                <w:szCs w:val="24"/>
                <w:lang w:val="en-US" w:eastAsia="zh-CN"/>
              </w:rPr>
            </w:pPr>
          </w:p>
        </w:tc>
      </w:tr>
    </w:tbl>
    <w:p>
      <w:pPr>
        <w:pStyle w:val="8"/>
        <w:spacing w:line="320" w:lineRule="exact"/>
        <w:rPr>
          <w:color w:val="FF0000"/>
        </w:rPr>
      </w:pPr>
      <w:r>
        <w:rPr>
          <w:rFonts w:eastAsia="仿宋_GB2312"/>
          <w:color w:val="FF0000"/>
          <w:sz w:val="21"/>
          <w:szCs w:val="21"/>
        </w:rPr>
        <w:br w:type="page"/>
      </w:r>
      <w:bookmarkStart w:id="3" w:name="_Toc4009301"/>
      <w:r>
        <w:rPr>
          <w:color w:val="000000" w:themeColor="text1"/>
        </w:rPr>
        <w:t>表二</w:t>
      </w:r>
      <w:r>
        <w:rPr>
          <w:rFonts w:hint="eastAsia"/>
          <w:color w:val="000000" w:themeColor="text1"/>
        </w:rPr>
        <w:t>、建设项目工程概况</w:t>
      </w:r>
      <w:bookmarkEnd w:id="3"/>
    </w:p>
    <w:tbl>
      <w:tblPr>
        <w:tblStyle w:val="22"/>
        <w:tblW w:w="871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68" w:hRule="atLeast"/>
          <w:jc w:val="center"/>
        </w:trPr>
        <w:tc>
          <w:tcPr>
            <w:tcW w:w="8714" w:type="dxa"/>
          </w:tcPr>
          <w:p>
            <w:pPr>
              <w:pStyle w:val="9"/>
              <w:rPr>
                <w:color w:val="000000" w:themeColor="text1"/>
              </w:rPr>
            </w:pPr>
            <w:bookmarkStart w:id="4" w:name="_Toc4009302"/>
            <w:r>
              <w:rPr>
                <w:rFonts w:hint="eastAsia"/>
                <w:color w:val="000000" w:themeColor="text1"/>
              </w:rPr>
              <w:t>2.1建设项目基本情况</w:t>
            </w:r>
            <w:bookmarkEnd w:id="4"/>
          </w:p>
          <w:p>
            <w:pPr>
              <w:pStyle w:val="12"/>
              <w:spacing w:line="360" w:lineRule="auto"/>
              <w:ind w:firstLine="480" w:firstLineChars="200"/>
              <w:rPr>
                <w:rFonts w:ascii="宋体" w:hAnsi="宋体"/>
                <w:color w:val="000000" w:themeColor="text1"/>
                <w:sz w:val="24"/>
              </w:rPr>
            </w:pPr>
            <w:r>
              <w:rPr>
                <w:rFonts w:ascii="宋体" w:hAnsi="宋体"/>
                <w:color w:val="000000" w:themeColor="text1"/>
                <w:sz w:val="24"/>
              </w:rPr>
              <w:t>本项目位于</w:t>
            </w:r>
            <w:r>
              <w:rPr>
                <w:rFonts w:hint="eastAsia" w:ascii="宋体" w:hAnsi="宋体"/>
                <w:color w:val="000000" w:themeColor="text1"/>
                <w:sz w:val="24"/>
              </w:rPr>
              <w:t>枣庄市薛城区薛城化工产业园（山东潍焦集团薛城能源有限公司）（中心经纬度为：</w:t>
            </w:r>
            <w:r>
              <w:rPr>
                <w:color w:val="000000" w:themeColor="text1"/>
                <w:sz w:val="24"/>
              </w:rPr>
              <w:t>N34.862799</w:t>
            </w:r>
            <w:r>
              <w:rPr>
                <w:rFonts w:hint="eastAsia" w:ascii="宋体" w:hAnsi="宋体"/>
                <w:color w:val="000000" w:themeColor="text1"/>
                <w:sz w:val="24"/>
              </w:rPr>
              <w:t>°,E117.443783°），项目所在厂区东邻甘陈路、南临节能路、西邻安阳路、北邻薛能一路，南侧距离枣曹线800米，交通极为便利，地理位置图见附图1。</w:t>
            </w:r>
          </w:p>
          <w:p>
            <w:pPr>
              <w:pStyle w:val="12"/>
              <w:spacing w:line="360" w:lineRule="auto"/>
              <w:ind w:firstLine="480" w:firstLineChars="200"/>
              <w:rPr>
                <w:rFonts w:ascii="宋体" w:hAnsi="宋体"/>
                <w:color w:val="000000" w:themeColor="text1"/>
                <w:sz w:val="24"/>
              </w:rPr>
            </w:pPr>
            <w:r>
              <w:rPr>
                <w:rFonts w:hint="eastAsia"/>
                <w:color w:val="000000" w:themeColor="text1"/>
                <w:sz w:val="24"/>
              </w:rPr>
              <w:t>本项目建设于</w:t>
            </w:r>
            <w:r>
              <w:rPr>
                <w:rFonts w:hint="eastAsia" w:ascii="宋体" w:hAnsi="宋体"/>
                <w:color w:val="000000" w:themeColor="text1"/>
                <w:sz w:val="24"/>
              </w:rPr>
              <w:t>山东潍焦集团薛城能源有限公司厂区内，</w:t>
            </w:r>
            <w:r>
              <w:rPr>
                <w:rFonts w:hint="eastAsia" w:ascii="宋体" w:hAnsi="宋体"/>
                <w:color w:val="000000" w:themeColor="text1"/>
                <w:sz w:val="24"/>
                <w:lang w:val="en-US" w:eastAsia="zh-CN"/>
              </w:rPr>
              <w:t>对原有露天焦场进行环保封闭改造，主要建设长427米，宽107米的封闭式网架结构焦棚及配套除尘、消防设施。</w:t>
            </w:r>
            <w:r>
              <w:rPr>
                <w:rFonts w:hint="eastAsia" w:ascii="宋体" w:hAnsi="宋体"/>
                <w:color w:val="000000" w:themeColor="text1"/>
                <w:sz w:val="24"/>
              </w:rPr>
              <w:t>厂区道路、水、电、汽系统依托原有工程</w:t>
            </w:r>
            <w:r>
              <w:rPr>
                <w:rFonts w:hint="eastAsia" w:ascii="宋体" w:hAnsi="宋体"/>
                <w:color w:val="000000" w:themeColor="text1"/>
                <w:sz w:val="24"/>
                <w:lang w:eastAsia="zh-CN"/>
              </w:rPr>
              <w:t>，</w:t>
            </w:r>
            <w:r>
              <w:rPr>
                <w:rFonts w:hint="eastAsia" w:ascii="宋体" w:hAnsi="宋体"/>
                <w:color w:val="000000" w:themeColor="text1"/>
                <w:sz w:val="24"/>
              </w:rPr>
              <w:t>厂区平面布置未发生变化详见附图2。</w:t>
            </w:r>
          </w:p>
          <w:p>
            <w:pPr>
              <w:pStyle w:val="12"/>
              <w:spacing w:line="360" w:lineRule="auto"/>
              <w:ind w:firstLine="480" w:firstLineChars="200"/>
              <w:rPr>
                <w:rFonts w:ascii="宋体" w:hAnsi="宋体"/>
                <w:color w:val="000000" w:themeColor="text1"/>
                <w:sz w:val="24"/>
              </w:rPr>
            </w:pPr>
            <w:r>
              <w:rPr>
                <w:rFonts w:hint="eastAsia" w:ascii="宋体" w:hAnsi="宋体"/>
                <w:color w:val="000000" w:themeColor="text1"/>
                <w:sz w:val="24"/>
              </w:rPr>
              <w:t>项目用地属于</w:t>
            </w:r>
            <w:r>
              <w:rPr>
                <w:rFonts w:hint="eastAsia"/>
                <w:color w:val="000000" w:themeColor="text1"/>
                <w:sz w:val="24"/>
              </w:rPr>
              <w:t>建设用地，符合土地利用总体规划的要求，</w:t>
            </w:r>
            <w:r>
              <w:rPr>
                <w:rFonts w:hint="eastAsia" w:ascii="宋体" w:hAnsi="宋体"/>
                <w:color w:val="000000" w:themeColor="text1"/>
                <w:sz w:val="24"/>
              </w:rPr>
              <w:t>周边环境见附图3。</w:t>
            </w:r>
          </w:p>
          <w:p>
            <w:pPr>
              <w:spacing w:after="0" w:line="360" w:lineRule="auto"/>
              <w:ind w:firstLine="405"/>
              <w:rPr>
                <w:rFonts w:ascii="宋体" w:hAnsi="宋体" w:eastAsia="宋体" w:cs="Times New Roman"/>
                <w:color w:val="000000" w:themeColor="text1"/>
                <w:kern w:val="2"/>
                <w:sz w:val="24"/>
                <w:szCs w:val="24"/>
              </w:rPr>
            </w:pPr>
            <w:r>
              <w:rPr>
                <w:rFonts w:hint="eastAsia" w:ascii="宋体" w:hAnsi="宋体" w:eastAsia="宋体" w:cs="Times New Roman"/>
                <w:color w:val="000000" w:themeColor="text1"/>
                <w:kern w:val="2"/>
                <w:sz w:val="24"/>
                <w:szCs w:val="24"/>
              </w:rPr>
              <w:t>项目计划投资</w:t>
            </w:r>
            <w:r>
              <w:rPr>
                <w:rFonts w:hint="eastAsia" w:ascii="宋体" w:hAnsi="宋体" w:eastAsia="宋体"/>
                <w:color w:val="000000" w:themeColor="text1"/>
                <w:sz w:val="24"/>
                <w:szCs w:val="24"/>
                <w:lang w:val="en-US" w:eastAsia="zh-CN"/>
              </w:rPr>
              <w:t>4100</w:t>
            </w:r>
            <w:r>
              <w:rPr>
                <w:rFonts w:hint="eastAsia" w:ascii="宋体" w:hAnsi="宋体" w:eastAsia="宋体" w:cs="Times New Roman"/>
                <w:color w:val="000000" w:themeColor="text1"/>
                <w:kern w:val="2"/>
                <w:sz w:val="24"/>
                <w:szCs w:val="24"/>
              </w:rPr>
              <w:t>万元，实际总投资</w:t>
            </w:r>
            <w:r>
              <w:rPr>
                <w:rFonts w:hint="eastAsia" w:ascii="宋体" w:hAnsi="宋体" w:eastAsia="宋体" w:cs="Times New Roman"/>
                <w:color w:val="000000" w:themeColor="text1"/>
                <w:kern w:val="2"/>
                <w:sz w:val="24"/>
                <w:szCs w:val="24"/>
                <w:lang w:val="en-US" w:eastAsia="zh-CN"/>
              </w:rPr>
              <w:t>3858</w:t>
            </w:r>
            <w:r>
              <w:rPr>
                <w:rFonts w:hint="eastAsia" w:ascii="宋体" w:hAnsi="宋体" w:eastAsia="宋体" w:cs="Times New Roman"/>
                <w:color w:val="000000" w:themeColor="text1"/>
                <w:kern w:val="2"/>
                <w:sz w:val="24"/>
                <w:szCs w:val="24"/>
              </w:rPr>
              <w:t>万元，</w:t>
            </w:r>
            <w:r>
              <w:rPr>
                <w:rFonts w:hint="eastAsia" w:ascii="宋体" w:hAnsi="宋体" w:eastAsia="宋体" w:cs="Times New Roman"/>
                <w:color w:val="000000" w:themeColor="text1"/>
                <w:kern w:val="2"/>
                <w:sz w:val="24"/>
                <w:szCs w:val="24"/>
                <w:lang w:val="en-US" w:eastAsia="zh-CN"/>
              </w:rPr>
              <w:t>新建穹顶网架结构将焦场封闭，封闭尺寸324*107米，封闭面积36000平方米</w:t>
            </w:r>
            <w:r>
              <w:rPr>
                <w:rFonts w:hint="eastAsia" w:ascii="宋体" w:hAnsi="宋体" w:eastAsia="宋体" w:cs="Times New Roman"/>
                <w:color w:val="000000" w:themeColor="text1"/>
                <w:kern w:val="2"/>
                <w:sz w:val="24"/>
                <w:szCs w:val="24"/>
              </w:rPr>
              <w:t>。具体情况见表2-1。</w:t>
            </w:r>
          </w:p>
          <w:p>
            <w:pPr>
              <w:spacing w:after="0" w:line="360" w:lineRule="auto"/>
              <w:jc w:val="center"/>
              <w:rPr>
                <w:rFonts w:ascii="宋体" w:hAnsi="宋体" w:eastAsia="宋体"/>
                <w:color w:val="000000" w:themeColor="text1"/>
                <w:sz w:val="24"/>
                <w:szCs w:val="24"/>
              </w:rPr>
            </w:pPr>
            <w:r>
              <w:rPr>
                <w:rFonts w:hint="eastAsia" w:ascii="宋体" w:hAnsi="宋体" w:eastAsia="宋体"/>
                <w:color w:val="000000" w:themeColor="text1"/>
                <w:sz w:val="24"/>
                <w:szCs w:val="24"/>
              </w:rPr>
              <w:t>表2-1  项目工程情况一览表</w:t>
            </w:r>
          </w:p>
          <w:tbl>
            <w:tblPr>
              <w:tblStyle w:val="22"/>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076"/>
              <w:gridCol w:w="3077"/>
              <w:gridCol w:w="2945"/>
              <w:gridCol w:w="6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类别</w:t>
                  </w:r>
                </w:p>
              </w:tc>
              <w:tc>
                <w:tcPr>
                  <w:tcW w:w="633"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建设名称</w:t>
                  </w:r>
                </w:p>
              </w:tc>
              <w:tc>
                <w:tcPr>
                  <w:tcW w:w="1810"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eastAsia="zh-CN"/>
                    </w:rPr>
                    <w:t>可研</w:t>
                  </w:r>
                  <w:r>
                    <w:rPr>
                      <w:rFonts w:hint="eastAsia" w:ascii="Times New Roman" w:hAnsi="Times New Roman" w:eastAsia="宋体" w:cs="Times New Roman"/>
                      <w:color w:val="000000" w:themeColor="text1"/>
                      <w:sz w:val="21"/>
                      <w:szCs w:val="21"/>
                    </w:rPr>
                    <w:t>设计</w:t>
                  </w:r>
                  <w:r>
                    <w:rPr>
                      <w:rFonts w:ascii="Times New Roman" w:hAnsi="Times New Roman" w:eastAsia="宋体" w:cs="Times New Roman"/>
                      <w:color w:val="000000" w:themeColor="text1"/>
                      <w:sz w:val="21"/>
                      <w:szCs w:val="21"/>
                    </w:rPr>
                    <w:t>内容及规模</w:t>
                  </w:r>
                </w:p>
              </w:tc>
              <w:tc>
                <w:tcPr>
                  <w:tcW w:w="1732"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实际建设内容及规模</w:t>
                  </w:r>
                </w:p>
              </w:tc>
              <w:tc>
                <w:tcPr>
                  <w:tcW w:w="394"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主体工程</w:t>
                  </w:r>
                </w:p>
              </w:tc>
              <w:tc>
                <w:tcPr>
                  <w:tcW w:w="633" w:type="pct"/>
                  <w:tcBorders>
                    <w:tl2br w:val="nil"/>
                    <w:tr2bl w:val="nil"/>
                  </w:tcBorders>
                  <w:vAlign w:val="center"/>
                </w:tcPr>
                <w:p>
                  <w:pPr>
                    <w:spacing w:beforeLines="50" w:afterLines="5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焦场封闭</w:t>
                  </w:r>
                </w:p>
              </w:tc>
              <w:tc>
                <w:tcPr>
                  <w:tcW w:w="1810"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hint="eastAsia" w:ascii="宋体" w:hAnsi="宋体" w:eastAsia="宋体" w:cs="Times New Roman"/>
                      <w:color w:val="000000" w:themeColor="text1"/>
                      <w:kern w:val="2"/>
                      <w:sz w:val="21"/>
                      <w:szCs w:val="21"/>
                      <w:lang w:val="en-US" w:eastAsia="zh-CN"/>
                    </w:rPr>
                    <w:t>穹顶网架结构，封闭尺寸324*107米，封闭面积36000平方米</w:t>
                  </w:r>
                </w:p>
              </w:tc>
              <w:tc>
                <w:tcPr>
                  <w:tcW w:w="1732"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lang w:val="en-US" w:eastAsia="zh-CN" w:bidi="ar-SA"/>
                    </w:rPr>
                  </w:pPr>
                  <w:r>
                    <w:rPr>
                      <w:rFonts w:hint="eastAsia" w:ascii="宋体" w:hAnsi="宋体" w:eastAsia="宋体" w:cs="Times New Roman"/>
                      <w:color w:val="000000" w:themeColor="text1"/>
                      <w:kern w:val="2"/>
                      <w:sz w:val="21"/>
                      <w:szCs w:val="21"/>
                      <w:lang w:val="en-US" w:eastAsia="zh-CN"/>
                    </w:rPr>
                    <w:t>穹顶网架结构，封闭尺寸324*107米，封闭面积36000平方米</w:t>
                  </w:r>
                </w:p>
              </w:tc>
              <w:tc>
                <w:tcPr>
                  <w:tcW w:w="394" w:type="pct"/>
                  <w:tcBorders>
                    <w:tl2br w:val="nil"/>
                    <w:tr2bl w:val="nil"/>
                  </w:tcBorders>
                  <w:vAlign w:val="center"/>
                </w:tcPr>
                <w:p>
                  <w:pPr>
                    <w:pStyle w:val="12"/>
                    <w:spacing w:beforeLines="50" w:afterLines="50"/>
                    <w:jc w:val="center"/>
                    <w:rPr>
                      <w:color w:val="000000" w:themeColor="text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pct"/>
                  <w:vMerge w:val="restar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公用工程</w:t>
                  </w:r>
                </w:p>
              </w:tc>
              <w:tc>
                <w:tcPr>
                  <w:tcW w:w="633"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供水</w:t>
                  </w:r>
                </w:p>
              </w:tc>
              <w:tc>
                <w:tcPr>
                  <w:tcW w:w="1810"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由原厂区供给</w:t>
                  </w:r>
                </w:p>
              </w:tc>
              <w:tc>
                <w:tcPr>
                  <w:tcW w:w="1732" w:type="pct"/>
                  <w:tcBorders>
                    <w:tl2br w:val="nil"/>
                    <w:tr2bl w:val="nil"/>
                  </w:tcBorders>
                  <w:vAlign w:val="center"/>
                </w:tcPr>
                <w:p>
                  <w:pPr>
                    <w:spacing w:beforeLines="50" w:afterLines="5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rPr>
                    <w:t>依托原项目供水系统，</w:t>
                  </w:r>
                  <w:r>
                    <w:rPr>
                      <w:rFonts w:hint="eastAsia" w:ascii="Times New Roman" w:hAnsi="Times New Roman" w:eastAsia="宋体" w:cs="Times New Roman"/>
                      <w:color w:val="000000" w:themeColor="text1"/>
                      <w:sz w:val="21"/>
                      <w:szCs w:val="21"/>
                      <w:lang w:val="en-US" w:eastAsia="zh-CN"/>
                    </w:rPr>
                    <w:t>主要用于焦棚内抑尘用水</w:t>
                  </w:r>
                </w:p>
              </w:tc>
              <w:tc>
                <w:tcPr>
                  <w:tcW w:w="394" w:type="pct"/>
                  <w:tcBorders>
                    <w:tl2br w:val="nil"/>
                    <w:tr2bl w:val="nil"/>
                  </w:tcBorders>
                  <w:vAlign w:val="center"/>
                </w:tcPr>
                <w:p>
                  <w:pPr>
                    <w:pStyle w:val="12"/>
                    <w:spacing w:beforeLines="50" w:afterLines="50"/>
                    <w:jc w:val="center"/>
                    <w:rPr>
                      <w:color w:val="000000" w:themeColor="text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pct"/>
                  <w:vMerge w:val="continue"/>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p>
              </w:tc>
              <w:tc>
                <w:tcPr>
                  <w:tcW w:w="633"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排水</w:t>
                  </w:r>
                </w:p>
              </w:tc>
              <w:tc>
                <w:tcPr>
                  <w:tcW w:w="1810"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无新增人员，不新增生活污水；</w:t>
                  </w:r>
                </w:p>
              </w:tc>
              <w:tc>
                <w:tcPr>
                  <w:tcW w:w="1732" w:type="pct"/>
                  <w:tcBorders>
                    <w:tl2br w:val="nil"/>
                    <w:tr2bl w:val="nil"/>
                  </w:tcBorders>
                  <w:vAlign w:val="center"/>
                </w:tcPr>
                <w:p>
                  <w:pPr>
                    <w:spacing w:beforeLines="50" w:afterLines="5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无新增人员，未新</w:t>
                  </w:r>
                  <w:r>
                    <w:rPr>
                      <w:rFonts w:ascii="Times New Roman" w:hAnsi="Times New Roman" w:eastAsia="宋体" w:cs="Times New Roman"/>
                      <w:color w:val="000000" w:themeColor="text1"/>
                      <w:sz w:val="21"/>
                      <w:szCs w:val="21"/>
                    </w:rPr>
                    <w:t>增生活污水；</w:t>
                  </w:r>
                  <w:r>
                    <w:rPr>
                      <w:rFonts w:hint="eastAsia" w:ascii="Times New Roman" w:hAnsi="Times New Roman" w:eastAsia="宋体" w:cs="Times New Roman"/>
                      <w:color w:val="000000" w:themeColor="text1"/>
                      <w:sz w:val="21"/>
                      <w:szCs w:val="21"/>
                      <w:lang w:val="en-US" w:eastAsia="zh-CN"/>
                    </w:rPr>
                    <w:t>抑尘洒水自然损耗。</w:t>
                  </w:r>
                </w:p>
              </w:tc>
              <w:tc>
                <w:tcPr>
                  <w:tcW w:w="394" w:type="pct"/>
                  <w:tcBorders>
                    <w:tl2br w:val="nil"/>
                    <w:tr2bl w:val="nil"/>
                  </w:tcBorders>
                  <w:vAlign w:val="center"/>
                </w:tcPr>
                <w:p>
                  <w:pPr>
                    <w:pStyle w:val="12"/>
                    <w:spacing w:beforeLines="50" w:afterLines="50"/>
                    <w:jc w:val="center"/>
                    <w:rPr>
                      <w:color w:val="000000" w:themeColor="text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pct"/>
                  <w:vMerge w:val="continue"/>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p>
              </w:tc>
              <w:tc>
                <w:tcPr>
                  <w:tcW w:w="633"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供电</w:t>
                  </w:r>
                </w:p>
              </w:tc>
              <w:tc>
                <w:tcPr>
                  <w:tcW w:w="1810"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依托原有厂区供电设备</w:t>
                  </w:r>
                </w:p>
              </w:tc>
              <w:tc>
                <w:tcPr>
                  <w:tcW w:w="1732"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项目用电主要为照明、抑尘等设施用电，</w:t>
                  </w:r>
                  <w:r>
                    <w:rPr>
                      <w:rFonts w:ascii="Times New Roman" w:hAnsi="Times New Roman" w:eastAsia="宋体" w:cs="Times New Roman"/>
                      <w:color w:val="000000" w:themeColor="text1"/>
                      <w:sz w:val="21"/>
                      <w:szCs w:val="21"/>
                    </w:rPr>
                    <w:t>依托原有厂区供电设备</w:t>
                  </w:r>
                </w:p>
              </w:tc>
              <w:tc>
                <w:tcPr>
                  <w:tcW w:w="394" w:type="pct"/>
                  <w:tcBorders>
                    <w:tl2br w:val="nil"/>
                    <w:tr2bl w:val="nil"/>
                  </w:tcBorders>
                  <w:vAlign w:val="center"/>
                </w:tcPr>
                <w:p>
                  <w:pPr>
                    <w:pStyle w:val="12"/>
                    <w:spacing w:beforeLines="50" w:afterLines="50"/>
                    <w:jc w:val="center"/>
                    <w:rPr>
                      <w:color w:val="000000" w:themeColor="text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pct"/>
                  <w:vMerge w:val="restar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环保工程</w:t>
                  </w:r>
                </w:p>
              </w:tc>
              <w:tc>
                <w:tcPr>
                  <w:tcW w:w="633"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废气处理</w:t>
                  </w:r>
                </w:p>
              </w:tc>
              <w:tc>
                <w:tcPr>
                  <w:tcW w:w="1810"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rPr>
                    <w:t>本项目自身为</w:t>
                  </w:r>
                  <w:r>
                    <w:rPr>
                      <w:rFonts w:hint="eastAsia" w:ascii="Times New Roman" w:hAnsi="Times New Roman" w:eastAsia="宋体" w:cs="Times New Roman"/>
                      <w:color w:val="000000" w:themeColor="text1"/>
                      <w:sz w:val="21"/>
                      <w:szCs w:val="21"/>
                      <w:lang w:val="en-US" w:eastAsia="zh-CN"/>
                    </w:rPr>
                    <w:t>焦棚封闭</w:t>
                  </w:r>
                  <w:r>
                    <w:rPr>
                      <w:rFonts w:hint="eastAsia" w:ascii="Times New Roman" w:hAnsi="Times New Roman" w:eastAsia="宋体" w:cs="Times New Roman"/>
                      <w:color w:val="000000" w:themeColor="text1"/>
                      <w:sz w:val="21"/>
                      <w:szCs w:val="21"/>
                    </w:rPr>
                    <w:t>改造工程，降低颗粒物排放量。</w:t>
                  </w:r>
                </w:p>
              </w:tc>
              <w:tc>
                <w:tcPr>
                  <w:tcW w:w="1732"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rPr>
                    <w:t>本项目自身为废气治理工程，</w:t>
                  </w:r>
                  <w:r>
                    <w:rPr>
                      <w:rFonts w:hint="eastAsia" w:ascii="Times New Roman" w:hAnsi="Times New Roman" w:eastAsia="宋体" w:cs="Times New Roman"/>
                      <w:color w:val="000000" w:themeColor="text1"/>
                      <w:sz w:val="21"/>
                      <w:szCs w:val="21"/>
                      <w:lang w:val="en-US" w:eastAsia="zh-CN"/>
                    </w:rPr>
                    <w:t>通过建设穹顶网架结构将焦场封闭，减少颗粒物无组织排放</w:t>
                  </w:r>
                  <w:r>
                    <w:rPr>
                      <w:rFonts w:hint="eastAsia" w:ascii="Times New Roman" w:hAnsi="Times New Roman" w:eastAsia="宋体" w:cs="Times New Roman"/>
                      <w:color w:val="000000" w:themeColor="text1"/>
                      <w:sz w:val="21"/>
                      <w:szCs w:val="21"/>
                    </w:rPr>
                    <w:t>。</w:t>
                  </w:r>
                </w:p>
              </w:tc>
              <w:tc>
                <w:tcPr>
                  <w:tcW w:w="394"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8" w:type="pct"/>
                  <w:vMerge w:val="continue"/>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p>
              </w:tc>
              <w:tc>
                <w:tcPr>
                  <w:tcW w:w="633"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rPr>
                    <w:t>固废</w:t>
                  </w:r>
                </w:p>
              </w:tc>
              <w:tc>
                <w:tcPr>
                  <w:tcW w:w="1810" w:type="pct"/>
                  <w:tcBorders>
                    <w:tl2br w:val="nil"/>
                    <w:tr2bl w:val="nil"/>
                  </w:tcBorders>
                  <w:vAlign w:val="center"/>
                </w:tcPr>
                <w:p>
                  <w:pPr>
                    <w:spacing w:beforeLines="50" w:afterLines="5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生活垃圾由环卫部门清运</w:t>
                  </w:r>
                </w:p>
              </w:tc>
              <w:tc>
                <w:tcPr>
                  <w:tcW w:w="1732" w:type="pct"/>
                  <w:tcBorders>
                    <w:tl2br w:val="nil"/>
                    <w:tr2bl w:val="nil"/>
                  </w:tcBorders>
                  <w:vAlign w:val="center"/>
                </w:tcPr>
                <w:p>
                  <w:pPr>
                    <w:spacing w:beforeLines="50" w:afterLines="50"/>
                    <w:jc w:val="both"/>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员工产生生活垃圾由环卫部门清运，人员均为原有人员，未新增人员，无新增生活垃圾</w:t>
                  </w:r>
                </w:p>
              </w:tc>
              <w:tc>
                <w:tcPr>
                  <w:tcW w:w="394" w:type="pct"/>
                  <w:tcBorders>
                    <w:tl2br w:val="nil"/>
                    <w:tr2bl w:val="nil"/>
                  </w:tcBorders>
                  <w:vAlign w:val="center"/>
                </w:tcPr>
                <w:p>
                  <w:pPr>
                    <w:spacing w:beforeLines="50" w:afterLines="50"/>
                    <w:jc w:val="center"/>
                    <w:rPr>
                      <w:rFonts w:ascii="Times New Roman" w:hAnsi="Times New Roman" w:eastAsia="宋体" w:cs="Times New Roman"/>
                      <w:color w:val="000000" w:themeColor="text1"/>
                      <w:sz w:val="21"/>
                      <w:szCs w:val="21"/>
                    </w:rPr>
                  </w:pPr>
                </w:p>
              </w:tc>
            </w:tr>
          </w:tbl>
          <w:p>
            <w:pPr>
              <w:pStyle w:val="9"/>
              <w:rPr>
                <w:color w:val="000000" w:themeColor="text1"/>
              </w:rPr>
            </w:pPr>
            <w:bookmarkStart w:id="5" w:name="_Toc4009303"/>
            <w:r>
              <w:rPr>
                <w:rFonts w:hint="eastAsia"/>
                <w:color w:val="000000" w:themeColor="text1"/>
              </w:rPr>
              <w:t>2.2主要设备</w:t>
            </w:r>
            <w:bookmarkEnd w:id="5"/>
          </w:p>
          <w:p>
            <w:pPr>
              <w:spacing w:after="0"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主要设备见表2-2。</w:t>
            </w:r>
          </w:p>
          <w:p>
            <w:pPr>
              <w:spacing w:after="0"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表2-2</w:t>
            </w:r>
            <w:r>
              <w:rPr>
                <w:rFonts w:hint="eastAsia" w:ascii="Times New Roman" w:hAnsi="Times New Roman" w:eastAsia="宋体" w:cs="Times New Roman"/>
                <w:color w:val="000000" w:themeColor="text1"/>
                <w:sz w:val="24"/>
                <w:szCs w:val="24"/>
                <w:lang w:val="en-US" w:eastAsia="zh-CN"/>
              </w:rPr>
              <w:t xml:space="preserve">  焦场封闭设备</w:t>
            </w:r>
            <w:r>
              <w:rPr>
                <w:rFonts w:ascii="Times New Roman" w:hAnsi="Times New Roman" w:eastAsia="宋体" w:cs="Times New Roman"/>
                <w:color w:val="000000" w:themeColor="text1"/>
                <w:sz w:val="24"/>
                <w:szCs w:val="24"/>
              </w:rPr>
              <w:t>一览表</w:t>
            </w:r>
          </w:p>
          <w:tbl>
            <w:tblPr>
              <w:tblStyle w:val="22"/>
              <w:tblW w:w="4998"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2029"/>
              <w:gridCol w:w="1076"/>
              <w:gridCol w:w="2228"/>
              <w:gridCol w:w="2523"/>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376" w:type="pct"/>
                  <w:tcBorders>
                    <w:tl2br w:val="nil"/>
                    <w:tr2bl w:val="nil"/>
                  </w:tcBorders>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序号</w:t>
                  </w:r>
                </w:p>
              </w:tc>
              <w:tc>
                <w:tcPr>
                  <w:tcW w:w="1194" w:type="pct"/>
                  <w:tcBorders>
                    <w:tl2br w:val="nil"/>
                    <w:tr2bl w:val="nil"/>
                  </w:tcBorders>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名称</w:t>
                  </w:r>
                </w:p>
              </w:tc>
              <w:tc>
                <w:tcPr>
                  <w:tcW w:w="633" w:type="pct"/>
                  <w:tcBorders>
                    <w:tl2br w:val="nil"/>
                    <w:tr2bl w:val="nil"/>
                  </w:tcBorders>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单位</w:t>
                  </w:r>
                </w:p>
              </w:tc>
              <w:tc>
                <w:tcPr>
                  <w:tcW w:w="1311" w:type="pct"/>
                  <w:tcBorders>
                    <w:tl2br w:val="nil"/>
                    <w:tr2bl w:val="nil"/>
                  </w:tcBorders>
                  <w:vAlign w:val="center"/>
                </w:tcPr>
                <w:p>
                  <w:pPr>
                    <w:spacing w:after="0"/>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可研设计</w:t>
                  </w:r>
                </w:p>
              </w:tc>
              <w:tc>
                <w:tcPr>
                  <w:tcW w:w="1484" w:type="pct"/>
                  <w:tcBorders>
                    <w:tl2br w:val="nil"/>
                    <w:tr2bl w:val="nil"/>
                  </w:tcBorders>
                  <w:vAlign w:val="center"/>
                </w:tcPr>
                <w:p>
                  <w:pPr>
                    <w:spacing w:after="0"/>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实际建设情况</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6" w:type="pct"/>
                  <w:tcBorders>
                    <w:tl2br w:val="nil"/>
                    <w:tr2bl w:val="nil"/>
                  </w:tcBorders>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1</w:t>
                  </w:r>
                </w:p>
              </w:tc>
              <w:tc>
                <w:tcPr>
                  <w:tcW w:w="1194"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雾炮</w:t>
                  </w:r>
                </w:p>
              </w:tc>
              <w:tc>
                <w:tcPr>
                  <w:tcW w:w="633" w:type="pct"/>
                  <w:tcBorders>
                    <w:tl2br w:val="nil"/>
                    <w:tr2bl w:val="nil"/>
                  </w:tcBorders>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台</w:t>
                  </w:r>
                </w:p>
              </w:tc>
              <w:tc>
                <w:tcPr>
                  <w:tcW w:w="1311" w:type="pct"/>
                  <w:tcBorders>
                    <w:tl2br w:val="nil"/>
                    <w:tr2bl w:val="nil"/>
                  </w:tcBorders>
                  <w:vAlign w:val="center"/>
                </w:tcPr>
                <w:p>
                  <w:pPr>
                    <w:spacing w:after="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484" w:type="pct"/>
                  <w:tcBorders>
                    <w:tl2br w:val="nil"/>
                    <w:tr2bl w:val="nil"/>
                  </w:tcBorders>
                  <w:vAlign w:val="center"/>
                </w:tcPr>
                <w:p>
                  <w:pPr>
                    <w:spacing w:after="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76" w:type="pct"/>
                  <w:tcBorders>
                    <w:tl2br w:val="nil"/>
                    <w:tr2bl w:val="nil"/>
                  </w:tcBorders>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2</w:t>
                  </w:r>
                </w:p>
              </w:tc>
              <w:tc>
                <w:tcPr>
                  <w:tcW w:w="1194"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消防炮</w:t>
                  </w:r>
                </w:p>
              </w:tc>
              <w:tc>
                <w:tcPr>
                  <w:tcW w:w="633" w:type="pct"/>
                  <w:tcBorders>
                    <w:tl2br w:val="nil"/>
                    <w:tr2bl w:val="nil"/>
                  </w:tcBorders>
                  <w:vAlign w:val="center"/>
                </w:tcPr>
                <w:p>
                  <w:pPr>
                    <w:spacing w:after="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台</w:t>
                  </w:r>
                </w:p>
              </w:tc>
              <w:tc>
                <w:tcPr>
                  <w:tcW w:w="1311" w:type="pct"/>
                  <w:tcBorders>
                    <w:tl2br w:val="nil"/>
                    <w:tr2bl w:val="nil"/>
                  </w:tcBorders>
                  <w:vAlign w:val="center"/>
                </w:tcPr>
                <w:p>
                  <w:pPr>
                    <w:spacing w:after="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484"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76" w:type="pct"/>
                  <w:tcBorders>
                    <w:tl2br w:val="nil"/>
                    <w:tr2bl w:val="nil"/>
                  </w:tcBorders>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3</w:t>
                  </w:r>
                </w:p>
              </w:tc>
              <w:tc>
                <w:tcPr>
                  <w:tcW w:w="1194"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射灯</w:t>
                  </w:r>
                </w:p>
              </w:tc>
              <w:tc>
                <w:tcPr>
                  <w:tcW w:w="633" w:type="pct"/>
                  <w:tcBorders>
                    <w:tl2br w:val="nil"/>
                    <w:tr2bl w:val="nil"/>
                  </w:tcBorders>
                  <w:vAlign w:val="center"/>
                </w:tcPr>
                <w:p>
                  <w:pPr>
                    <w:spacing w:after="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台</w:t>
                  </w:r>
                </w:p>
              </w:tc>
              <w:tc>
                <w:tcPr>
                  <w:tcW w:w="1311" w:type="pct"/>
                  <w:tcBorders>
                    <w:tl2br w:val="nil"/>
                    <w:tr2bl w:val="nil"/>
                  </w:tcBorders>
                  <w:vAlign w:val="center"/>
                </w:tcPr>
                <w:p>
                  <w:pPr>
                    <w:spacing w:after="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484" w:type="pct"/>
                  <w:tcBorders>
                    <w:tl2br w:val="nil"/>
                    <w:tr2bl w:val="nil"/>
                  </w:tcBorders>
                  <w:vAlign w:val="center"/>
                </w:tcPr>
                <w:p>
                  <w:pPr>
                    <w:spacing w:after="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15</w:t>
                  </w:r>
                </w:p>
              </w:tc>
            </w:tr>
          </w:tbl>
          <w:p>
            <w:pPr>
              <w:pStyle w:val="9"/>
              <w:rPr>
                <w:rFonts w:hint="default" w:ascii="Times New Roman" w:hAnsi="Times New Roman" w:eastAsia="宋体" w:cs="Times New Roman"/>
                <w:b w:val="0"/>
                <w:bCs w:val="0"/>
                <w:color w:val="000000" w:themeColor="text1"/>
                <w:lang w:val="en-US" w:eastAsia="zh-CN"/>
              </w:rPr>
            </w:pPr>
            <w:bookmarkStart w:id="6" w:name="_Toc4009304"/>
            <w:r>
              <w:rPr>
                <w:rFonts w:hint="eastAsia" w:ascii="Times New Roman" w:hAnsi="Times New Roman" w:eastAsia="宋体" w:cs="Times New Roman"/>
                <w:b w:val="0"/>
                <w:bCs w:val="0"/>
                <w:color w:val="000000" w:themeColor="text1"/>
                <w:lang w:val="en-US" w:eastAsia="zh-CN"/>
              </w:rPr>
              <w:t>焦棚内雾炮、消防炮及射灯分布见图2-1。</w:t>
            </w:r>
          </w:p>
          <w:p>
            <w:pPr>
              <w:pStyle w:val="9"/>
              <w:rPr>
                <w:rFonts w:ascii="Times New Roman" w:hAnsi="Times New Roman" w:eastAsia="宋体" w:cs="Times New Roman"/>
                <w:color w:val="000000" w:themeColor="text1"/>
              </w:rPr>
            </w:pPr>
            <w:r>
              <w:rPr>
                <w:rFonts w:ascii="Times New Roman" w:hAnsi="Times New Roman" w:eastAsia="宋体" w:cs="Times New Roman"/>
                <w:color w:val="000000" w:themeColor="text1"/>
              </w:rPr>
              <w:t>2.3主要原辅材料</w:t>
            </w:r>
            <w:bookmarkEnd w:id="6"/>
          </w:p>
          <w:p>
            <w:pPr>
              <w:spacing w:after="0" w:line="360" w:lineRule="auto"/>
              <w:ind w:firstLine="405"/>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项目涉及到的主要原辅材料见表2-3。</w:t>
            </w:r>
          </w:p>
          <w:p>
            <w:pPr>
              <w:spacing w:after="0" w:line="360" w:lineRule="auto"/>
              <w:jc w:val="center"/>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表2-3 项目主要原辅材料消耗一览表</w:t>
            </w:r>
          </w:p>
          <w:tbl>
            <w:tblPr>
              <w:tblStyle w:val="23"/>
              <w:tblW w:w="849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694"/>
              <w:gridCol w:w="1331"/>
              <w:gridCol w:w="1407"/>
              <w:gridCol w:w="1710"/>
              <w:gridCol w:w="13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97" w:type="dxa"/>
                  <w:gridSpan w:val="4"/>
                  <w:vAlign w:val="center"/>
                </w:tcPr>
                <w:p>
                  <w:pPr>
                    <w:spacing w:after="0"/>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rPr>
                    <w:t>可研</w:t>
                  </w:r>
                  <w:r>
                    <w:rPr>
                      <w:rFonts w:ascii="Times New Roman" w:hAnsi="Times New Roman" w:eastAsia="宋体" w:cs="Times New Roman"/>
                      <w:color w:val="000000" w:themeColor="text1"/>
                      <w:sz w:val="21"/>
                      <w:szCs w:val="21"/>
                    </w:rPr>
                    <w:t>及批复情况</w:t>
                  </w:r>
                </w:p>
              </w:tc>
              <w:tc>
                <w:tcPr>
                  <w:tcW w:w="1710" w:type="dxa"/>
                  <w:vMerge w:val="restart"/>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本期工程</w:t>
                  </w:r>
                </w:p>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实际情况</w:t>
                  </w:r>
                </w:p>
              </w:tc>
              <w:tc>
                <w:tcPr>
                  <w:tcW w:w="1391" w:type="dxa"/>
                  <w:vMerge w:val="restart"/>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5" w:type="dxa"/>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序号</w:t>
                  </w:r>
                </w:p>
              </w:tc>
              <w:tc>
                <w:tcPr>
                  <w:tcW w:w="1694" w:type="dxa"/>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名称</w:t>
                  </w:r>
                </w:p>
              </w:tc>
              <w:tc>
                <w:tcPr>
                  <w:tcW w:w="1331" w:type="dxa"/>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单位</w:t>
                  </w:r>
                </w:p>
              </w:tc>
              <w:tc>
                <w:tcPr>
                  <w:tcW w:w="1407" w:type="dxa"/>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消耗量</w:t>
                  </w:r>
                </w:p>
              </w:tc>
              <w:tc>
                <w:tcPr>
                  <w:tcW w:w="1710" w:type="dxa"/>
                  <w:vMerge w:val="continue"/>
                  <w:vAlign w:val="center"/>
                </w:tcPr>
                <w:p>
                  <w:pPr>
                    <w:spacing w:after="0"/>
                    <w:jc w:val="center"/>
                    <w:rPr>
                      <w:rFonts w:ascii="Times New Roman" w:hAnsi="Times New Roman" w:eastAsia="宋体" w:cs="Times New Roman"/>
                      <w:color w:val="000000" w:themeColor="text1"/>
                      <w:sz w:val="21"/>
                      <w:szCs w:val="21"/>
                    </w:rPr>
                  </w:pPr>
                </w:p>
              </w:tc>
              <w:tc>
                <w:tcPr>
                  <w:tcW w:w="1391" w:type="dxa"/>
                  <w:vMerge w:val="continue"/>
                  <w:vAlign w:val="center"/>
                </w:tcPr>
                <w:p>
                  <w:pPr>
                    <w:spacing w:after="0"/>
                    <w:jc w:val="center"/>
                    <w:rPr>
                      <w:rFonts w:ascii="Times New Roman" w:hAnsi="Times New Roman" w:eastAsia="宋体" w:cs="Times New Roman"/>
                      <w:color w:val="000000" w:themeColor="text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65" w:type="dxa"/>
                  <w:vAlign w:val="center"/>
                </w:tcPr>
                <w:p>
                  <w:pPr>
                    <w:spacing w:after="0"/>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1</w:t>
                  </w:r>
                </w:p>
              </w:tc>
              <w:tc>
                <w:tcPr>
                  <w:tcW w:w="1694" w:type="dxa"/>
                  <w:vAlign w:val="center"/>
                </w:tcPr>
                <w:p>
                  <w:pPr>
                    <w:spacing w:after="0"/>
                    <w:jc w:val="center"/>
                    <w:rPr>
                      <w:rFonts w:ascii="Times New Roman" w:hAnsi="Times New Roman" w:eastAsia="宋体" w:cs="Times New Roman"/>
                      <w:color w:val="000000" w:themeColor="text1"/>
                      <w:sz w:val="21"/>
                      <w:szCs w:val="21"/>
                      <w:lang w:val="en-US" w:eastAsia="zh-CN" w:bidi="ar-SA"/>
                    </w:rPr>
                  </w:pPr>
                  <w:r>
                    <w:rPr>
                      <w:rFonts w:ascii="Times New Roman" w:hAnsi="Times New Roman" w:eastAsia="宋体" w:cs="Times New Roman"/>
                      <w:color w:val="000000" w:themeColor="text1"/>
                      <w:sz w:val="21"/>
                      <w:szCs w:val="21"/>
                    </w:rPr>
                    <w:t>电力</w:t>
                  </w:r>
                </w:p>
              </w:tc>
              <w:tc>
                <w:tcPr>
                  <w:tcW w:w="1331" w:type="dxa"/>
                  <w:vAlign w:val="center"/>
                </w:tcPr>
                <w:p>
                  <w:pPr>
                    <w:spacing w:after="0"/>
                    <w:jc w:val="center"/>
                    <w:rPr>
                      <w:rFonts w:ascii="Times New Roman" w:hAnsi="Times New Roman" w:eastAsia="宋体" w:cs="Times New Roman"/>
                      <w:color w:val="000000" w:themeColor="text1"/>
                      <w:sz w:val="21"/>
                      <w:szCs w:val="21"/>
                      <w:lang w:val="en-US" w:eastAsia="zh-CN" w:bidi="ar-SA"/>
                    </w:rPr>
                  </w:pPr>
                  <w:r>
                    <w:rPr>
                      <w:rFonts w:ascii="Times New Roman" w:hAnsi="Times New Roman" w:eastAsia="宋体" w:cs="Times New Roman"/>
                      <w:color w:val="000000" w:themeColor="text1"/>
                      <w:sz w:val="21"/>
                      <w:szCs w:val="21"/>
                    </w:rPr>
                    <w:t>kW/h</w:t>
                  </w:r>
                </w:p>
              </w:tc>
              <w:tc>
                <w:tcPr>
                  <w:tcW w:w="1407" w:type="dxa"/>
                  <w:vAlign w:val="center"/>
                </w:tcPr>
                <w:p>
                  <w:pPr>
                    <w:spacing w:after="0"/>
                    <w:jc w:val="center"/>
                    <w:rPr>
                      <w:rFonts w:hint="default" w:ascii="Times New Roman" w:hAnsi="Times New Roman" w:eastAsia="宋体" w:cs="Times New Roman"/>
                      <w:color w:val="000000" w:themeColor="text1"/>
                      <w:sz w:val="21"/>
                      <w:szCs w:val="21"/>
                      <w:lang w:val="en-US" w:eastAsia="zh-CN" w:bidi="ar-SA"/>
                    </w:rPr>
                  </w:pPr>
                  <w:r>
                    <w:rPr>
                      <w:rFonts w:hint="eastAsia" w:ascii="Times New Roman" w:hAnsi="Times New Roman" w:eastAsia="宋体" w:cs="Times New Roman"/>
                      <w:color w:val="000000" w:themeColor="text1"/>
                      <w:sz w:val="21"/>
                      <w:szCs w:val="21"/>
                      <w:lang w:val="en-US" w:eastAsia="zh-CN" w:bidi="ar-SA"/>
                    </w:rPr>
                    <w:t>/</w:t>
                  </w:r>
                </w:p>
              </w:tc>
              <w:tc>
                <w:tcPr>
                  <w:tcW w:w="1710" w:type="dxa"/>
                  <w:vAlign w:val="center"/>
                </w:tcPr>
                <w:p>
                  <w:pPr>
                    <w:spacing w:after="0"/>
                    <w:jc w:val="center"/>
                    <w:rPr>
                      <w:rFonts w:hint="default" w:ascii="Times New Roman" w:hAnsi="Times New Roman" w:eastAsia="宋体" w:cs="Times New Roman"/>
                      <w:color w:val="000000" w:themeColor="text1"/>
                      <w:sz w:val="21"/>
                      <w:szCs w:val="21"/>
                      <w:lang w:val="en-US" w:eastAsia="zh-CN" w:bidi="ar-SA"/>
                    </w:rPr>
                  </w:pPr>
                  <w:r>
                    <w:rPr>
                      <w:rFonts w:hint="eastAsia" w:ascii="Times New Roman" w:hAnsi="Times New Roman" w:eastAsia="宋体" w:cs="Times New Roman"/>
                      <w:color w:val="000000" w:themeColor="text1"/>
                      <w:sz w:val="21"/>
                      <w:szCs w:val="21"/>
                      <w:lang w:val="en-US" w:eastAsia="zh-CN" w:bidi="ar-SA"/>
                    </w:rPr>
                    <w:t>200</w:t>
                  </w:r>
                </w:p>
              </w:tc>
              <w:tc>
                <w:tcPr>
                  <w:tcW w:w="1391" w:type="dxa"/>
                  <w:vAlign w:val="center"/>
                </w:tcPr>
                <w:p>
                  <w:pPr>
                    <w:spacing w:after="0"/>
                    <w:jc w:val="center"/>
                    <w:rPr>
                      <w:rFonts w:ascii="Times New Roman" w:hAnsi="Times New Roman" w:eastAsia="宋体" w:cs="Times New Roman"/>
                      <w:color w:val="000000" w:themeColor="text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trPr>
              <w:tc>
                <w:tcPr>
                  <w:tcW w:w="965" w:type="dxa"/>
                  <w:vAlign w:val="center"/>
                </w:tcPr>
                <w:p>
                  <w:pPr>
                    <w:spacing w:after="0"/>
                    <w:jc w:val="center"/>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2</w:t>
                  </w:r>
                </w:p>
              </w:tc>
              <w:tc>
                <w:tcPr>
                  <w:tcW w:w="1694" w:type="dxa"/>
                  <w:vAlign w:val="center"/>
                </w:tcPr>
                <w:p>
                  <w:pPr>
                    <w:spacing w:after="0"/>
                    <w:jc w:val="center"/>
                    <w:rPr>
                      <w:rFonts w:hint="default" w:ascii="Times New Roman" w:hAnsi="Times New Roman" w:eastAsia="宋体" w:cs="Times New Roman"/>
                      <w:color w:val="000000" w:themeColor="text1"/>
                      <w:sz w:val="21"/>
                      <w:szCs w:val="21"/>
                      <w:lang w:val="en-US" w:eastAsia="zh-CN" w:bidi="ar-SA"/>
                    </w:rPr>
                  </w:pPr>
                  <w:r>
                    <w:rPr>
                      <w:rFonts w:hint="eastAsia" w:ascii="Times New Roman" w:hAnsi="Times New Roman" w:eastAsia="宋体" w:cs="Times New Roman"/>
                      <w:color w:val="000000" w:themeColor="text1"/>
                      <w:sz w:val="21"/>
                      <w:szCs w:val="21"/>
                      <w:lang w:val="en-US" w:eastAsia="zh-CN" w:bidi="ar-SA"/>
                    </w:rPr>
                    <w:t>水</w:t>
                  </w:r>
                </w:p>
              </w:tc>
              <w:tc>
                <w:tcPr>
                  <w:tcW w:w="1331" w:type="dxa"/>
                  <w:vAlign w:val="center"/>
                </w:tcPr>
                <w:p>
                  <w:pPr>
                    <w:spacing w:after="0"/>
                    <w:jc w:val="center"/>
                    <w:rPr>
                      <w:rFonts w:hint="default" w:ascii="Times New Roman" w:hAnsi="Times New Roman" w:eastAsia="宋体" w:cs="Times New Roman"/>
                      <w:color w:val="000000" w:themeColor="text1"/>
                      <w:sz w:val="21"/>
                      <w:szCs w:val="21"/>
                      <w:lang w:val="en-US" w:eastAsia="zh-CN" w:bidi="ar-SA"/>
                    </w:rPr>
                  </w:pPr>
                  <w:r>
                    <w:rPr>
                      <w:rFonts w:hint="eastAsia" w:ascii="Times New Roman" w:hAnsi="Times New Roman" w:eastAsia="宋体" w:cs="Times New Roman"/>
                      <w:color w:val="000000" w:themeColor="text1"/>
                      <w:sz w:val="21"/>
                      <w:szCs w:val="21"/>
                      <w:lang w:val="en-US" w:eastAsia="zh-CN" w:bidi="ar-SA"/>
                    </w:rPr>
                    <w:t>m</w:t>
                  </w:r>
                  <w:r>
                    <w:rPr>
                      <w:rFonts w:hint="eastAsia" w:ascii="Times New Roman" w:hAnsi="Times New Roman" w:eastAsia="宋体" w:cs="Times New Roman"/>
                      <w:color w:val="000000" w:themeColor="text1"/>
                      <w:sz w:val="21"/>
                      <w:szCs w:val="21"/>
                      <w:vertAlign w:val="superscript"/>
                      <w:lang w:val="en-US" w:eastAsia="zh-CN" w:bidi="ar-SA"/>
                    </w:rPr>
                    <w:t>3</w:t>
                  </w:r>
                  <w:r>
                    <w:rPr>
                      <w:rFonts w:hint="eastAsia" w:ascii="Times New Roman" w:hAnsi="Times New Roman" w:eastAsia="宋体" w:cs="Times New Roman"/>
                      <w:color w:val="000000" w:themeColor="text1"/>
                      <w:sz w:val="21"/>
                      <w:szCs w:val="21"/>
                      <w:lang w:val="en-US" w:eastAsia="zh-CN" w:bidi="ar-SA"/>
                    </w:rPr>
                    <w:t>/d</w:t>
                  </w:r>
                </w:p>
              </w:tc>
              <w:tc>
                <w:tcPr>
                  <w:tcW w:w="1407" w:type="dxa"/>
                  <w:vAlign w:val="center"/>
                </w:tcPr>
                <w:p>
                  <w:pPr>
                    <w:spacing w:after="0"/>
                    <w:jc w:val="center"/>
                    <w:rPr>
                      <w:rFonts w:hint="default" w:ascii="Times New Roman" w:hAnsi="Times New Roman" w:eastAsia="宋体" w:cs="Times New Roman"/>
                      <w:color w:val="000000" w:themeColor="text1"/>
                      <w:sz w:val="21"/>
                      <w:szCs w:val="21"/>
                      <w:lang w:val="en-US" w:eastAsia="zh-CN" w:bidi="ar-SA"/>
                    </w:rPr>
                  </w:pPr>
                  <w:r>
                    <w:rPr>
                      <w:rFonts w:hint="eastAsia" w:ascii="Times New Roman" w:hAnsi="Times New Roman" w:eastAsia="宋体" w:cs="Times New Roman"/>
                      <w:color w:val="000000" w:themeColor="text1"/>
                      <w:sz w:val="21"/>
                      <w:szCs w:val="21"/>
                      <w:lang w:val="en-US" w:eastAsia="zh-CN" w:bidi="ar-SA"/>
                    </w:rPr>
                    <w:t>/</w:t>
                  </w:r>
                </w:p>
              </w:tc>
              <w:tc>
                <w:tcPr>
                  <w:tcW w:w="1710" w:type="dxa"/>
                  <w:vAlign w:val="center"/>
                </w:tcPr>
                <w:p>
                  <w:pPr>
                    <w:spacing w:after="0"/>
                    <w:jc w:val="center"/>
                    <w:rPr>
                      <w:rFonts w:hint="default" w:ascii="Times New Roman" w:hAnsi="Times New Roman" w:eastAsia="宋体" w:cs="Times New Roman"/>
                      <w:color w:val="000000" w:themeColor="text1"/>
                      <w:sz w:val="21"/>
                      <w:szCs w:val="21"/>
                      <w:lang w:val="en-US" w:eastAsia="zh-CN" w:bidi="ar-SA"/>
                    </w:rPr>
                  </w:pPr>
                  <w:r>
                    <w:rPr>
                      <w:rFonts w:hint="eastAsia" w:ascii="Times New Roman" w:hAnsi="Times New Roman" w:eastAsia="宋体" w:cs="Times New Roman"/>
                      <w:color w:val="000000" w:themeColor="text1"/>
                      <w:sz w:val="21"/>
                      <w:szCs w:val="21"/>
                      <w:lang w:val="en-US" w:eastAsia="zh-CN" w:bidi="ar-SA"/>
                    </w:rPr>
                    <w:t>5</w:t>
                  </w:r>
                </w:p>
              </w:tc>
              <w:tc>
                <w:tcPr>
                  <w:tcW w:w="1391" w:type="dxa"/>
                  <w:vAlign w:val="center"/>
                </w:tcPr>
                <w:p>
                  <w:pPr>
                    <w:spacing w:after="0"/>
                    <w:jc w:val="center"/>
                    <w:rPr>
                      <w:rFonts w:ascii="Times New Roman" w:hAnsi="Times New Roman" w:eastAsia="宋体" w:cs="Times New Roman"/>
                      <w:color w:val="000000" w:themeColor="text1"/>
                      <w:sz w:val="21"/>
                      <w:szCs w:val="21"/>
                    </w:rPr>
                  </w:pPr>
                </w:p>
              </w:tc>
            </w:tr>
          </w:tbl>
          <w:p>
            <w:pPr>
              <w:pStyle w:val="9"/>
              <w:rPr>
                <w:rFonts w:ascii="Times New Roman" w:hAnsi="Times New Roman" w:eastAsia="宋体" w:cs="Times New Roman"/>
                <w:color w:val="000000" w:themeColor="text1"/>
              </w:rPr>
            </w:pPr>
            <w:bookmarkStart w:id="7" w:name="_Toc4009305"/>
            <w:r>
              <w:rPr>
                <w:rFonts w:ascii="Times New Roman" w:hAnsi="Times New Roman" w:eastAsia="宋体" w:cs="Times New Roman"/>
                <w:color w:val="000000" w:themeColor="text1"/>
              </w:rPr>
              <w:t>2.4公用工程</w:t>
            </w:r>
            <w:bookmarkEnd w:id="7"/>
          </w:p>
          <w:p>
            <w:pPr>
              <w:spacing w:after="0" w:line="360" w:lineRule="auto"/>
              <w:ind w:firstLine="405"/>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1）给、排水</w:t>
            </w:r>
          </w:p>
          <w:p>
            <w:pPr>
              <w:spacing w:after="0" w:line="360" w:lineRule="auto"/>
              <w:ind w:firstLine="405"/>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给水：</w:t>
            </w:r>
            <w:r>
              <w:rPr>
                <w:rFonts w:hint="eastAsia" w:ascii="Times New Roman" w:hAnsi="Times New Roman" w:eastAsia="宋体" w:cs="Times New Roman"/>
                <w:color w:val="000000" w:themeColor="text1"/>
                <w:sz w:val="24"/>
                <w:szCs w:val="24"/>
                <w:lang w:eastAsia="zh-CN"/>
              </w:rPr>
              <w:t>本项目为</w:t>
            </w:r>
            <w:r>
              <w:rPr>
                <w:rFonts w:hint="eastAsia" w:ascii="Times New Roman" w:hAnsi="Times New Roman" w:eastAsia="宋体" w:cs="Times New Roman"/>
                <w:color w:val="000000" w:themeColor="text1"/>
                <w:sz w:val="24"/>
                <w:szCs w:val="24"/>
                <w:lang w:val="en-US" w:eastAsia="zh-CN"/>
              </w:rPr>
              <w:t>焦场封闭</w:t>
            </w:r>
            <w:r>
              <w:rPr>
                <w:rFonts w:hint="eastAsia" w:ascii="Times New Roman" w:hAnsi="Times New Roman" w:eastAsia="宋体" w:cs="Times New Roman"/>
                <w:color w:val="000000" w:themeColor="text1"/>
                <w:sz w:val="24"/>
                <w:szCs w:val="24"/>
                <w:lang w:eastAsia="zh-CN"/>
              </w:rPr>
              <w:t>项目，不涉及生产用水，无新增人员，无新增生活用水，</w:t>
            </w:r>
            <w:r>
              <w:rPr>
                <w:rFonts w:hint="eastAsia" w:ascii="Times New Roman" w:hAnsi="Times New Roman" w:eastAsia="宋体" w:cs="Times New Roman"/>
                <w:color w:val="000000" w:themeColor="text1"/>
                <w:sz w:val="24"/>
                <w:szCs w:val="24"/>
                <w:lang w:val="en-US" w:eastAsia="zh-CN"/>
              </w:rPr>
              <w:t>用水主要为抑尘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洒水，用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水量为5t/d</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p>
          <w:p>
            <w:pPr>
              <w:spacing w:after="0" w:line="360" w:lineRule="auto"/>
              <w:ind w:firstLine="405"/>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排水：本项目不新增生产用水和生活用水，无新增生产废水和生活污水</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焦场抑尘洒水自然损耗，无外排</w:t>
            </w:r>
            <w:r>
              <w:rPr>
                <w:rFonts w:hint="eastAsia" w:ascii="Times New Roman" w:hAnsi="Times New Roman" w:eastAsia="宋体" w:cs="Times New Roman"/>
                <w:color w:val="000000" w:themeColor="text1"/>
                <w:sz w:val="24"/>
                <w:szCs w:val="24"/>
              </w:rPr>
              <w:t>。</w:t>
            </w:r>
          </w:p>
          <w:p>
            <w:pPr>
              <w:spacing w:after="0"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w:t>
            </w:r>
            <w:r>
              <w:rPr>
                <w:rFonts w:hint="eastAsia" w:ascii="Times New Roman" w:hAnsi="Times New Roman" w:eastAsia="宋体" w:cs="Times New Roman"/>
                <w:color w:val="000000" w:themeColor="text1"/>
                <w:sz w:val="24"/>
                <w:szCs w:val="24"/>
              </w:rPr>
              <w:t>）</w:t>
            </w:r>
            <w:r>
              <w:rPr>
                <w:rFonts w:ascii="Times New Roman" w:hAnsi="宋体" w:eastAsia="宋体" w:cs="Times New Roman"/>
                <w:color w:val="000000" w:themeColor="text1"/>
                <w:sz w:val="24"/>
                <w:szCs w:val="24"/>
              </w:rPr>
              <w:t>用电</w:t>
            </w:r>
          </w:p>
          <w:p>
            <w:pPr>
              <w:spacing w:after="0" w:line="360" w:lineRule="auto"/>
              <w:ind w:firstLine="480" w:firstLineChars="200"/>
              <w:rPr>
                <w:rFonts w:ascii="Times New Roman" w:hAnsi="Times New Roman" w:eastAsia="宋体" w:cs="Times New Roman"/>
                <w:bCs/>
                <w:color w:val="000000" w:themeColor="text1"/>
                <w:sz w:val="24"/>
                <w:szCs w:val="24"/>
              </w:rPr>
            </w:pPr>
            <w:r>
              <w:rPr>
                <w:rFonts w:hint="eastAsia" w:ascii="Times New Roman" w:hAnsi="宋体" w:eastAsia="宋体" w:cs="Times New Roman"/>
                <w:bCs/>
                <w:color w:val="000000" w:themeColor="text1"/>
                <w:sz w:val="24"/>
                <w:szCs w:val="24"/>
              </w:rPr>
              <w:t>项目用电由</w:t>
            </w:r>
            <w:r>
              <w:rPr>
                <w:rFonts w:hint="eastAsia" w:ascii="Times New Roman" w:hAnsi="宋体" w:eastAsia="宋体" w:cs="Times New Roman"/>
                <w:color w:val="000000" w:themeColor="text1"/>
                <w:sz w:val="24"/>
                <w:szCs w:val="24"/>
              </w:rPr>
              <w:t>原厂区供配电系统</w:t>
            </w:r>
            <w:r>
              <w:rPr>
                <w:rFonts w:ascii="Times New Roman" w:hAnsi="宋体" w:eastAsia="宋体" w:cs="Times New Roman"/>
                <w:color w:val="000000" w:themeColor="text1"/>
                <w:sz w:val="24"/>
                <w:szCs w:val="24"/>
              </w:rPr>
              <w:t>提供，</w:t>
            </w:r>
            <w:r>
              <w:rPr>
                <w:rFonts w:ascii="Times New Roman" w:hAnsi="宋体" w:eastAsia="宋体" w:cs="Times New Roman"/>
                <w:bCs/>
                <w:color w:val="000000" w:themeColor="text1"/>
                <w:sz w:val="24"/>
                <w:szCs w:val="24"/>
              </w:rPr>
              <w:t>供电可以满足需要。</w:t>
            </w:r>
          </w:p>
          <w:p>
            <w:pPr>
              <w:pStyle w:val="9"/>
              <w:rPr>
                <w:rFonts w:ascii="Times New Roman" w:hAnsi="Times New Roman" w:eastAsia="宋体" w:cs="Times New Roman"/>
                <w:color w:val="000000" w:themeColor="text1"/>
              </w:rPr>
            </w:pPr>
            <w:bookmarkStart w:id="8" w:name="_Toc4009306"/>
            <w:r>
              <w:rPr>
                <w:rFonts w:ascii="Times New Roman" w:hAnsi="Times New Roman" w:eastAsia="宋体" w:cs="Times New Roman"/>
                <w:color w:val="000000" w:themeColor="text1"/>
              </w:rPr>
              <w:t>2.5</w:t>
            </w:r>
            <w:r>
              <w:rPr>
                <w:rFonts w:ascii="Times New Roman" w:hAnsi="宋体" w:eastAsia="宋体" w:cs="Times New Roman"/>
                <w:color w:val="000000" w:themeColor="text1"/>
              </w:rPr>
              <w:t>主要工艺流程及</w:t>
            </w:r>
            <w:r>
              <w:rPr>
                <w:rFonts w:hint="eastAsia" w:ascii="Times New Roman" w:hAnsi="宋体" w:eastAsia="宋体" w:cs="Times New Roman"/>
                <w:color w:val="000000" w:themeColor="text1"/>
              </w:rPr>
              <w:t>产污</w:t>
            </w:r>
            <w:r>
              <w:rPr>
                <w:rFonts w:ascii="Times New Roman" w:hAnsi="宋体" w:eastAsia="宋体" w:cs="Times New Roman"/>
                <w:color w:val="000000" w:themeColor="text1"/>
              </w:rPr>
              <w:t>环节</w:t>
            </w:r>
            <w:bookmarkEnd w:id="8"/>
          </w:p>
          <w:p>
            <w:pPr>
              <w:spacing w:after="0" w:line="360" w:lineRule="auto"/>
              <w:ind w:firstLine="480" w:firstLineChars="200"/>
              <w:rPr>
                <w:rFonts w:ascii="Times New Roman" w:hAnsi="Times New Roman" w:eastAsia="仿宋_GB2312" w:cs="Times New Roman"/>
                <w:color w:val="000000" w:themeColor="text1"/>
                <w:sz w:val="24"/>
              </w:rPr>
            </w:pPr>
            <w:r>
              <w:rPr>
                <w:rFonts w:hint="eastAsia" w:ascii="Times New Roman" w:hAnsi="Times New Roman" w:eastAsia="宋体" w:cs="Times New Roman"/>
                <w:color w:val="000000" w:themeColor="text1"/>
                <w:sz w:val="24"/>
              </w:rPr>
              <w:t>本项目为</w:t>
            </w:r>
            <w:r>
              <w:rPr>
                <w:rFonts w:hint="eastAsia" w:ascii="Times New Roman" w:hAnsi="Times New Roman" w:eastAsia="宋体" w:cs="Times New Roman"/>
                <w:color w:val="000000" w:themeColor="text1"/>
                <w:sz w:val="24"/>
                <w:lang w:eastAsia="zh-CN"/>
              </w:rPr>
              <w:t>焦场封闭项目</w:t>
            </w:r>
            <w:r>
              <w:rPr>
                <w:rFonts w:hint="eastAsia" w:ascii="Times New Roman" w:hAnsi="Times New Roman" w:eastAsia="宋体" w:cs="Times New Roman"/>
                <w:color w:val="000000" w:themeColor="text1"/>
                <w:sz w:val="24"/>
              </w:rPr>
              <w:t>，不涉及产品销售市场，</w:t>
            </w:r>
            <w:r>
              <w:rPr>
                <w:rFonts w:hint="eastAsia" w:ascii="Times New Roman" w:hAnsi="Times New Roman" w:eastAsia="宋体" w:cs="Times New Roman"/>
                <w:color w:val="000000" w:themeColor="text1"/>
                <w:sz w:val="24"/>
                <w:lang w:val="en-US" w:eastAsia="zh-CN"/>
              </w:rPr>
              <w:t>煤炭在运输、装卸等环节容易形成粉尘污染向大气逸散，焦场平均堆高约10~12米，通过建设穹顶网架结构将焦场封闭，主要解决大风天气焦场的扬尘问题</w:t>
            </w:r>
            <w:r>
              <w:rPr>
                <w:rFonts w:hint="eastAsia" w:ascii="Times New Roman" w:hAnsi="Times New Roman" w:eastAsia="宋体" w:cs="Times New Roman"/>
                <w:color w:val="000000" w:themeColor="text1"/>
                <w:sz w:val="24"/>
              </w:rPr>
              <w:t>。</w:t>
            </w:r>
          </w:p>
          <w:p>
            <w:pPr>
              <w:autoSpaceDE w:val="0"/>
              <w:autoSpaceDN w:val="0"/>
              <w:spacing w:after="0" w:line="360" w:lineRule="auto"/>
              <w:ind w:firstLine="480" w:firstLineChars="200"/>
              <w:rPr>
                <w:rFonts w:ascii="Times New Roman" w:hAnsi="宋体" w:eastAsia="宋体" w:cs="Times New Roman"/>
                <w:color w:val="000000" w:themeColor="text1"/>
                <w:sz w:val="24"/>
              </w:rPr>
            </w:pPr>
            <w:r>
              <w:rPr>
                <w:rFonts w:hint="eastAsia" w:ascii="Times New Roman" w:hAnsi="宋体" w:eastAsia="宋体" w:cs="Times New Roman"/>
                <w:color w:val="000000" w:themeColor="text1"/>
                <w:sz w:val="24"/>
              </w:rPr>
              <w:t>主要产污工序：</w:t>
            </w:r>
          </w:p>
          <w:p>
            <w:pPr>
              <w:autoSpaceDE w:val="0"/>
              <w:autoSpaceDN w:val="0"/>
              <w:spacing w:after="0" w:line="360" w:lineRule="auto"/>
              <w:ind w:firstLine="480" w:firstLineChars="200"/>
              <w:rPr>
                <w:rFonts w:hint="eastAsia" w:ascii="Times New Roman" w:hAnsi="宋体" w:eastAsia="宋体" w:cs="Times New Roman"/>
                <w:color w:val="000000" w:themeColor="text1"/>
                <w:sz w:val="24"/>
              </w:rPr>
            </w:pPr>
            <w:bookmarkStart w:id="9" w:name="_Toc4009307"/>
            <w:r>
              <w:rPr>
                <w:rFonts w:hint="eastAsia" w:ascii="Times New Roman" w:hAnsi="宋体" w:eastAsia="宋体" w:cs="Times New Roman"/>
                <w:color w:val="000000" w:themeColor="text1"/>
                <w:sz w:val="24"/>
              </w:rPr>
              <w:t>废气：</w:t>
            </w:r>
            <w:r>
              <w:rPr>
                <w:rFonts w:hint="eastAsia" w:ascii="Times New Roman" w:hAnsi="宋体" w:eastAsia="宋体" w:cs="Times New Roman"/>
                <w:color w:val="000000" w:themeColor="text1"/>
                <w:sz w:val="24"/>
                <w:lang w:val="en-US" w:eastAsia="zh-CN"/>
              </w:rPr>
              <w:t>通过建设封闭的焦棚，减少大风天气粉尘污染</w:t>
            </w:r>
            <w:r>
              <w:rPr>
                <w:rFonts w:hint="eastAsia" w:ascii="Times New Roman" w:hAnsi="宋体" w:eastAsia="宋体" w:cs="Times New Roman"/>
                <w:color w:val="000000" w:themeColor="text1"/>
                <w:sz w:val="24"/>
              </w:rPr>
              <w:t>，减少粉尘外排量。</w:t>
            </w:r>
          </w:p>
          <w:p>
            <w:pPr>
              <w:pStyle w:val="9"/>
              <w:rPr>
                <w:color w:val="000000" w:themeColor="text1"/>
              </w:rPr>
            </w:pPr>
            <w:r>
              <w:rPr>
                <w:rFonts w:hint="eastAsia"/>
                <w:color w:val="000000" w:themeColor="text1"/>
              </w:rPr>
              <w:t>2.6项目变动情况</w:t>
            </w:r>
            <w:bookmarkEnd w:id="9"/>
          </w:p>
          <w:p>
            <w:pPr>
              <w:spacing w:after="0" w:line="360" w:lineRule="auto"/>
              <w:ind w:firstLine="480" w:firstLineChars="200"/>
              <w:rPr>
                <w:rFonts w:hint="eastAsia"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项目主体工程及配套设施基本按照</w:t>
            </w:r>
            <w:r>
              <w:rPr>
                <w:rFonts w:hint="eastAsia" w:ascii="Times New Roman" w:hAnsi="宋体" w:eastAsia="宋体" w:cs="Times New Roman"/>
                <w:color w:val="000000" w:themeColor="text1"/>
                <w:sz w:val="24"/>
                <w:szCs w:val="24"/>
                <w:lang w:eastAsia="zh-CN"/>
              </w:rPr>
              <w:t>可行性</w:t>
            </w:r>
            <w:r>
              <w:rPr>
                <w:rFonts w:hint="eastAsia" w:ascii="Times New Roman" w:hAnsi="宋体" w:eastAsia="宋体" w:cs="Times New Roman"/>
                <w:color w:val="000000" w:themeColor="text1"/>
                <w:sz w:val="24"/>
                <w:szCs w:val="24"/>
              </w:rPr>
              <w:t>研究报告、环评登记表及其批复内容进行建设未发生变动。根据《关于印发＜污染影响类建设项目重大变动清单（试行）＞的通知》（环办环评函[2020]688号），项目的性质、地点、规模、生产工艺、环境保护措施未发生变动</w:t>
            </w:r>
            <w:r>
              <w:rPr>
                <w:rFonts w:hint="eastAsia" w:ascii="Times New Roman" w:hAnsi="宋体" w:eastAsia="宋体" w:cs="Times New Roman"/>
                <w:color w:val="000000" w:themeColor="text1"/>
                <w:sz w:val="24"/>
                <w:szCs w:val="24"/>
                <w:lang w:eastAsia="zh-CN"/>
              </w:rPr>
              <w:t>，</w:t>
            </w:r>
            <w:r>
              <w:rPr>
                <w:rFonts w:hint="eastAsia" w:ascii="Times New Roman" w:hAnsi="宋体" w:eastAsia="宋体" w:cs="Times New Roman"/>
                <w:color w:val="000000" w:themeColor="text1"/>
                <w:sz w:val="24"/>
                <w:szCs w:val="24"/>
              </w:rPr>
              <w:t>故本项目</w:t>
            </w:r>
            <w:r>
              <w:rPr>
                <w:rFonts w:hint="eastAsia" w:ascii="Times New Roman" w:hAnsi="宋体" w:eastAsia="宋体" w:cs="Times New Roman"/>
                <w:color w:val="000000" w:themeColor="text1"/>
                <w:sz w:val="24"/>
                <w:szCs w:val="24"/>
                <w:lang w:eastAsia="zh-CN"/>
              </w:rPr>
              <w:t>无变动</w:t>
            </w:r>
            <w:r>
              <w:rPr>
                <w:rFonts w:hint="eastAsia" w:ascii="Times New Roman" w:hAnsi="宋体" w:eastAsia="宋体" w:cs="Times New Roman"/>
                <w:color w:val="000000" w:themeColor="text1"/>
                <w:sz w:val="24"/>
                <w:szCs w:val="24"/>
              </w:rPr>
              <w:t>。</w:t>
            </w:r>
          </w:p>
          <w:p>
            <w:pPr>
              <w:pStyle w:val="2"/>
              <w:rPr>
                <w:rFonts w:hint="eastAsia" w:ascii="Times New Roman" w:hAnsi="宋体" w:eastAsia="宋体" w:cs="Times New Roman"/>
                <w:color w:val="000000" w:themeColor="text1"/>
                <w:sz w:val="24"/>
                <w:szCs w:val="24"/>
              </w:rPr>
            </w:pPr>
          </w:p>
          <w:p>
            <w:pPr>
              <w:rPr>
                <w:rFonts w:hint="eastAsia" w:ascii="Times New Roman" w:hAnsi="宋体" w:eastAsia="宋体" w:cs="Times New Roman"/>
                <w:color w:val="000000" w:themeColor="text1"/>
                <w:sz w:val="24"/>
                <w:szCs w:val="24"/>
              </w:rPr>
            </w:pPr>
          </w:p>
          <w:p>
            <w:pPr>
              <w:pStyle w:val="2"/>
              <w:rPr>
                <w:rFonts w:hint="eastAsia" w:ascii="Times New Roman" w:hAnsi="宋体" w:eastAsia="宋体" w:cs="Times New Roman"/>
                <w:color w:val="000000" w:themeColor="text1"/>
                <w:sz w:val="24"/>
                <w:szCs w:val="24"/>
              </w:rPr>
            </w:pPr>
          </w:p>
          <w:p>
            <w:pPr>
              <w:pStyle w:val="2"/>
              <w:rPr>
                <w:rFonts w:hint="eastAsia" w:ascii="Times New Roman" w:hAnsi="宋体" w:eastAsia="宋体" w:cs="Times New Roman"/>
                <w:color w:val="000000" w:themeColor="text1"/>
                <w:sz w:val="24"/>
                <w:szCs w:val="24"/>
              </w:rPr>
            </w:pPr>
          </w:p>
          <w:p>
            <w:pPr>
              <w:rPr>
                <w:rFonts w:hint="eastAsia" w:ascii="Times New Roman" w:hAnsi="宋体" w:eastAsia="宋体" w:cs="Times New Roman"/>
                <w:color w:val="000000" w:themeColor="text1"/>
                <w:sz w:val="24"/>
                <w:szCs w:val="24"/>
              </w:rPr>
            </w:pPr>
          </w:p>
          <w:p>
            <w:pPr>
              <w:pStyle w:val="2"/>
              <w:rPr>
                <w:rFonts w:hint="eastAsia" w:ascii="Times New Roman" w:hAnsi="宋体" w:eastAsia="宋体" w:cs="Times New Roman"/>
                <w:color w:val="000000" w:themeColor="text1"/>
                <w:sz w:val="24"/>
                <w:szCs w:val="24"/>
              </w:rPr>
            </w:pPr>
          </w:p>
          <w:p>
            <w:pPr>
              <w:rPr>
                <w:rFonts w:hint="eastAsia" w:ascii="Times New Roman" w:hAnsi="宋体" w:eastAsia="宋体" w:cs="Times New Roman"/>
                <w:color w:val="000000" w:themeColor="text1"/>
                <w:sz w:val="24"/>
                <w:szCs w:val="24"/>
              </w:rPr>
            </w:pPr>
          </w:p>
          <w:p>
            <w:pPr>
              <w:pStyle w:val="2"/>
              <w:rPr>
                <w:rFonts w:hint="eastAsia" w:ascii="Times New Roman" w:hAnsi="宋体" w:eastAsia="宋体" w:cs="Times New Roman"/>
                <w:color w:val="000000" w:themeColor="text1"/>
                <w:sz w:val="24"/>
                <w:szCs w:val="24"/>
              </w:rPr>
            </w:pPr>
          </w:p>
          <w:p>
            <w:pPr>
              <w:rPr>
                <w:rFonts w:hint="eastAsia" w:ascii="Times New Roman" w:hAnsi="宋体" w:eastAsia="宋体" w:cs="Times New Roman"/>
                <w:color w:val="000000" w:themeColor="text1"/>
                <w:sz w:val="24"/>
                <w:szCs w:val="24"/>
              </w:rPr>
            </w:pPr>
          </w:p>
          <w:p>
            <w:pPr>
              <w:pStyle w:val="2"/>
              <w:rPr>
                <w:rFonts w:hint="eastAsia" w:ascii="Times New Roman" w:hAnsi="宋体" w:eastAsia="宋体" w:cs="Times New Roman"/>
                <w:color w:val="000000" w:themeColor="text1"/>
                <w:sz w:val="24"/>
                <w:szCs w:val="24"/>
              </w:rPr>
            </w:pPr>
          </w:p>
          <w:p>
            <w:pPr>
              <w:rPr>
                <w:rFonts w:hint="eastAsia"/>
              </w:rPr>
            </w:pPr>
          </w:p>
          <w:p>
            <w:pPr>
              <w:pStyle w:val="2"/>
              <w:rPr>
                <w:rFonts w:hint="eastAsia"/>
              </w:rPr>
            </w:pPr>
          </w:p>
          <w:p>
            <w:pPr>
              <w:pStyle w:val="2"/>
            </w:pPr>
          </w:p>
          <w:p/>
          <w:p>
            <w:pPr>
              <w:pStyle w:val="2"/>
            </w:pPr>
          </w:p>
          <w:p/>
          <w:p>
            <w:pPr>
              <w:pStyle w:val="2"/>
            </w:pPr>
          </w:p>
          <w:p/>
          <w:p>
            <w:pPr>
              <w:pStyle w:val="2"/>
            </w:pPr>
          </w:p>
          <w:p/>
          <w:p>
            <w:pPr>
              <w:pStyle w:val="2"/>
            </w:pPr>
          </w:p>
          <w:p/>
          <w:p>
            <w:pPr>
              <w:pStyle w:val="2"/>
            </w:pPr>
          </w:p>
          <w:p/>
          <w:p>
            <w:pPr>
              <w:pStyle w:val="2"/>
            </w:pPr>
          </w:p>
          <w:p>
            <w:pPr>
              <w:spacing w:after="0" w:line="360" w:lineRule="auto"/>
              <w:ind w:firstLine="420" w:firstLineChars="200"/>
              <w:rPr>
                <w:rFonts w:ascii="宋体" w:hAnsi="宋体" w:eastAsia="宋体"/>
                <w:color w:val="FF0000"/>
                <w:sz w:val="21"/>
                <w:szCs w:val="21"/>
              </w:rPr>
            </w:pPr>
          </w:p>
        </w:tc>
      </w:tr>
    </w:tbl>
    <w:p>
      <w:pPr>
        <w:spacing w:line="360" w:lineRule="auto"/>
        <w:rPr>
          <w:rFonts w:eastAsia="仿宋_GB2312"/>
          <w:color w:val="FF0000"/>
          <w:sz w:val="21"/>
          <w:szCs w:val="21"/>
        </w:rPr>
        <w:sectPr>
          <w:footerReference r:id="rId12"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pStyle w:val="8"/>
        <w:rPr>
          <w:color w:val="000000" w:themeColor="text1"/>
        </w:rPr>
      </w:pPr>
      <w:bookmarkStart w:id="10" w:name="_Toc4009308"/>
      <w:r>
        <w:drawing>
          <wp:inline distT="0" distB="0" distL="114300" distR="114300">
            <wp:extent cx="8862695" cy="3750945"/>
            <wp:effectExtent l="0" t="0" r="14605"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8862695" cy="3750945"/>
                    </a:xfrm>
                    <a:prstGeom prst="rect">
                      <a:avLst/>
                    </a:prstGeom>
                    <a:noFill/>
                    <a:ln>
                      <a:noFill/>
                    </a:ln>
                  </pic:spPr>
                </pic:pic>
              </a:graphicData>
            </a:graphic>
          </wp:inline>
        </w:drawing>
      </w:r>
    </w:p>
    <w:p>
      <w:pPr>
        <w:pStyle w:val="2"/>
        <w:jc w:val="center"/>
        <w:rPr>
          <w:rFonts w:hint="default" w:eastAsia="宋体"/>
          <w:color w:val="000000" w:themeColor="text1"/>
          <w:sz w:val="24"/>
          <w:szCs w:val="24"/>
          <w:lang w:val="en-US" w:eastAsia="zh-CN"/>
        </w:rPr>
      </w:pPr>
      <w:r>
        <w:rPr>
          <w:rFonts w:hint="eastAsia"/>
          <w:color w:val="000000" w:themeColor="text1"/>
          <w:sz w:val="24"/>
          <w:szCs w:val="24"/>
          <w:lang w:eastAsia="zh-CN"/>
        </w:rPr>
        <w:t>图</w:t>
      </w:r>
      <w:r>
        <w:rPr>
          <w:rFonts w:hint="eastAsia"/>
          <w:color w:val="000000" w:themeColor="text1"/>
          <w:sz w:val="24"/>
          <w:szCs w:val="24"/>
          <w:lang w:val="en-US" w:eastAsia="zh-CN"/>
        </w:rPr>
        <w:t>2-1</w:t>
      </w:r>
      <w:r>
        <w:rPr>
          <w:rFonts w:hint="eastAsia" w:ascii="Times New Roman" w:hAnsi="Times New Roman" w:eastAsia="宋体" w:cs="Times New Roman"/>
          <w:b w:val="0"/>
          <w:bCs w:val="0"/>
          <w:color w:val="000000" w:themeColor="text1"/>
          <w:sz w:val="24"/>
          <w:szCs w:val="24"/>
          <w:lang w:val="en-US" w:eastAsia="zh-CN"/>
        </w:rPr>
        <w:t>焦棚内雾炮、消防炮及射灯分布图</w:t>
      </w:r>
    </w:p>
    <w:p>
      <w:pPr>
        <w:rPr>
          <w:color w:val="000000" w:themeColor="text1"/>
        </w:rPr>
      </w:pPr>
    </w:p>
    <w:p>
      <w:pPr>
        <w:pStyle w:val="2"/>
        <w:sectPr>
          <w:pgSz w:w="16838" w:h="11906" w:orient="landscape"/>
          <w:pgMar w:top="1803" w:right="1440" w:bottom="1803" w:left="1440" w:header="708" w:footer="709" w:gutter="0"/>
          <w:pgBorders>
            <w:top w:val="none" w:sz="0" w:space="0"/>
            <w:left w:val="none" w:sz="0" w:space="0"/>
            <w:bottom w:val="none" w:sz="0" w:space="0"/>
            <w:right w:val="none" w:sz="0" w:space="0"/>
          </w:pgBorders>
          <w:cols w:space="0" w:num="1"/>
          <w:rtlGutter w:val="0"/>
          <w:docGrid w:linePitch="360" w:charSpace="0"/>
        </w:sectPr>
      </w:pPr>
    </w:p>
    <w:p>
      <w:pPr>
        <w:pStyle w:val="8"/>
        <w:rPr>
          <w:color w:val="000000" w:themeColor="text1"/>
        </w:rPr>
      </w:pPr>
      <w:r>
        <w:rPr>
          <w:color w:val="000000" w:themeColor="text1"/>
        </w:rPr>
        <w:t>表</w:t>
      </w:r>
      <w:r>
        <w:rPr>
          <w:rFonts w:hint="eastAsia"/>
          <w:color w:val="000000" w:themeColor="text1"/>
        </w:rPr>
        <w:t>三、主要污染物排放及防治措施</w:t>
      </w:r>
      <w:bookmarkEnd w:id="10"/>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4" w:hRule="atLeast"/>
          <w:jc w:val="center"/>
        </w:trPr>
        <w:tc>
          <w:tcPr>
            <w:tcW w:w="8522" w:type="dxa"/>
          </w:tcPr>
          <w:p>
            <w:pPr>
              <w:pStyle w:val="9"/>
              <w:rPr>
                <w:color w:val="000000" w:themeColor="text1"/>
              </w:rPr>
            </w:pPr>
            <w:bookmarkStart w:id="11" w:name="_Toc4009309"/>
            <w:r>
              <w:rPr>
                <w:rFonts w:hint="eastAsia"/>
                <w:color w:val="000000" w:themeColor="text1"/>
              </w:rPr>
              <w:t>3.1主要污染源、污染物处理和排放</w:t>
            </w:r>
            <w:bookmarkEnd w:id="11"/>
          </w:p>
          <w:p>
            <w:pPr>
              <w:tabs>
                <w:tab w:val="left" w:pos="2910"/>
              </w:tabs>
              <w:spacing w:after="0"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3.1.1废气</w:t>
            </w:r>
          </w:p>
          <w:p>
            <w:pPr>
              <w:autoSpaceDE w:val="0"/>
              <w:autoSpaceDN w:val="0"/>
              <w:spacing w:after="0" w:line="360" w:lineRule="auto"/>
              <w:ind w:firstLine="480" w:firstLineChars="200"/>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rPr>
              <w:t>本项目为</w:t>
            </w:r>
            <w:r>
              <w:rPr>
                <w:rFonts w:hint="eastAsia" w:ascii="Times New Roman" w:hAnsi="Times New Roman" w:eastAsia="宋体" w:cs="Times New Roman"/>
                <w:color w:val="000000" w:themeColor="text1"/>
                <w:sz w:val="24"/>
                <w:lang w:eastAsia="zh-CN"/>
              </w:rPr>
              <w:t>焦场封闭项目</w:t>
            </w:r>
            <w:r>
              <w:rPr>
                <w:rFonts w:hint="eastAsia" w:ascii="Times New Roman" w:hAnsi="Times New Roman" w:eastAsia="宋体" w:cs="Times New Roman"/>
                <w:color w:val="000000" w:themeColor="text1"/>
                <w:sz w:val="24"/>
              </w:rPr>
              <w:t>，</w:t>
            </w:r>
            <w:r>
              <w:rPr>
                <w:rFonts w:hint="eastAsia" w:ascii="Times New Roman" w:hAnsi="Times New Roman" w:eastAsia="宋体" w:cs="Times New Roman"/>
                <w:color w:val="000000" w:themeColor="text1"/>
                <w:sz w:val="24"/>
                <w:lang w:val="en-US" w:eastAsia="zh-CN"/>
              </w:rPr>
              <w:t>焦炭在运输、装卸等环节容易形成粉尘污染向大气逸散，焦场平均堆高约10~12米，通过建设穹顶网架结构将焦场封闭，主要解决大风天气焦场的扬尘问题，焦棚内设置雾炮和消防炮，定期对焦棚内开展抑尘措施</w:t>
            </w:r>
            <w:r>
              <w:rPr>
                <w:rFonts w:ascii="Times New Roman" w:hAnsi="Times New Roman" w:eastAsia="宋体" w:cs="Times New Roman"/>
                <w:color w:val="000000" w:themeColor="text1"/>
                <w:sz w:val="24"/>
                <w:szCs w:val="24"/>
              </w:rPr>
              <w:t>。</w:t>
            </w:r>
          </w:p>
          <w:tbl>
            <w:tblPr>
              <w:tblStyle w:val="23"/>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trPr>
              <w:tc>
                <w:tcPr>
                  <w:tcW w:w="8296" w:type="dxa"/>
                </w:tcPr>
                <w:p>
                  <w:pPr>
                    <w:spacing w:after="0"/>
                    <w:ind w:left="-92" w:leftChars="-42"/>
                    <w:rPr>
                      <w:rFonts w:hint="eastAsia" w:eastAsia="微软雅黑"/>
                      <w:color w:val="FF0000"/>
                      <w:sz w:val="24"/>
                      <w:lang w:eastAsia="zh-CN"/>
                    </w:rPr>
                  </w:pPr>
                  <w:r>
                    <w:rPr>
                      <w:rFonts w:hint="eastAsia" w:eastAsia="微软雅黑"/>
                      <w:color w:val="FF0000"/>
                      <w:sz w:val="24"/>
                      <w:lang w:eastAsia="zh-CN"/>
                    </w:rPr>
                    <w:drawing>
                      <wp:inline distT="0" distB="0" distL="114300" distR="114300">
                        <wp:extent cx="5124450" cy="3807460"/>
                        <wp:effectExtent l="0" t="0" r="0" b="2540"/>
                        <wp:docPr id="7" name="图片 7" descr="165917785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9177854337"/>
                                <pic:cNvPicPr>
                                  <a:picLocks noChangeAspect="1"/>
                                </pic:cNvPicPr>
                              </pic:nvPicPr>
                              <pic:blipFill>
                                <a:blip r:embed="rId15"/>
                                <a:stretch>
                                  <a:fillRect/>
                                </a:stretch>
                              </pic:blipFill>
                              <pic:spPr>
                                <a:xfrm>
                                  <a:off x="0" y="0"/>
                                  <a:ext cx="5124450" cy="3807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96" w:type="dxa"/>
                </w:tcPr>
                <w:p>
                  <w:pPr>
                    <w:spacing w:after="0"/>
                    <w:ind w:left="-92" w:leftChars="-42"/>
                    <w:jc w:val="center"/>
                    <w:rPr>
                      <w:rFonts w:hint="eastAsia" w:ascii="宋体" w:hAnsi="宋体" w:eastAsia="宋体"/>
                      <w:color w:val="FF0000"/>
                      <w:sz w:val="24"/>
                      <w:szCs w:val="24"/>
                      <w:lang w:val="en-US" w:eastAsia="zh-CN"/>
                    </w:rPr>
                  </w:pPr>
                  <w:r>
                    <w:rPr>
                      <w:rFonts w:hint="eastAsia" w:ascii="宋体" w:hAnsi="宋体" w:eastAsia="宋体"/>
                      <w:color w:val="FF0000"/>
                      <w:sz w:val="24"/>
                      <w:szCs w:val="24"/>
                      <w:lang w:val="en-US" w:eastAsia="zh-CN"/>
                    </w:rPr>
                    <w:drawing>
                      <wp:inline distT="0" distB="0" distL="114300" distR="114300">
                        <wp:extent cx="5130800" cy="2838450"/>
                        <wp:effectExtent l="0" t="0" r="12700" b="0"/>
                        <wp:docPr id="8" name="图片 8" descr="165917793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9177930870"/>
                                <pic:cNvPicPr>
                                  <a:picLocks noChangeAspect="1"/>
                                </pic:cNvPicPr>
                              </pic:nvPicPr>
                              <pic:blipFill>
                                <a:blip r:embed="rId16"/>
                                <a:stretch>
                                  <a:fillRect/>
                                </a:stretch>
                              </pic:blipFill>
                              <pic:spPr>
                                <a:xfrm>
                                  <a:off x="0" y="0"/>
                                  <a:ext cx="5130800" cy="28384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96" w:type="dxa"/>
                </w:tcPr>
                <w:p>
                  <w:pPr>
                    <w:spacing w:after="0"/>
                    <w:ind w:left="-92" w:leftChars="-42"/>
                    <w:jc w:val="center"/>
                    <w:rPr>
                      <w:rFonts w:hint="eastAsia" w:ascii="宋体" w:hAnsi="宋体" w:eastAsia="宋体"/>
                      <w:color w:val="FF0000"/>
                      <w:sz w:val="24"/>
                      <w:szCs w:val="24"/>
                      <w:lang w:val="en-US" w:eastAsia="zh-CN"/>
                    </w:rPr>
                  </w:pPr>
                  <w:r>
                    <w:rPr>
                      <w:rFonts w:hint="eastAsia" w:ascii="宋体" w:hAnsi="宋体" w:eastAsia="宋体"/>
                      <w:color w:val="FF0000"/>
                      <w:sz w:val="24"/>
                      <w:szCs w:val="24"/>
                      <w:lang w:val="en-US" w:eastAsia="zh-CN"/>
                    </w:rPr>
                    <w:drawing>
                      <wp:inline distT="0" distB="0" distL="114300" distR="114300">
                        <wp:extent cx="5310505" cy="3086100"/>
                        <wp:effectExtent l="0" t="0" r="4445" b="0"/>
                        <wp:docPr id="9" name="图片 9" descr="165917795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9177959249"/>
                                <pic:cNvPicPr>
                                  <a:picLocks noChangeAspect="1"/>
                                </pic:cNvPicPr>
                              </pic:nvPicPr>
                              <pic:blipFill>
                                <a:blip r:embed="rId17"/>
                                <a:srcRect b="17534"/>
                                <a:stretch>
                                  <a:fillRect/>
                                </a:stretch>
                              </pic:blipFill>
                              <pic:spPr>
                                <a:xfrm>
                                  <a:off x="0" y="0"/>
                                  <a:ext cx="5310505" cy="3086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96" w:type="dxa"/>
                </w:tcPr>
                <w:p>
                  <w:pPr>
                    <w:spacing w:after="0"/>
                    <w:ind w:left="-92" w:leftChars="-42"/>
                    <w:jc w:val="center"/>
                    <w:rPr>
                      <w:rFonts w:hint="default"/>
                      <w:color w:val="FF0000"/>
                      <w:sz w:val="24"/>
                      <w:lang w:val="en-US"/>
                    </w:rPr>
                  </w:pPr>
                  <w:r>
                    <w:rPr>
                      <w:rFonts w:hint="eastAsia" w:ascii="宋体" w:hAnsi="宋体" w:eastAsia="宋体"/>
                      <w:color w:val="000000" w:themeColor="text1"/>
                      <w:sz w:val="24"/>
                      <w:szCs w:val="24"/>
                      <w:lang w:val="en-US" w:eastAsia="zh-CN"/>
                    </w:rPr>
                    <w:t>改造前焦场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96" w:type="dxa"/>
                </w:tcPr>
                <w:p>
                  <w:pPr>
                    <w:spacing w:after="0"/>
                    <w:ind w:left="-92" w:leftChars="-42"/>
                    <w:jc w:val="center"/>
                    <w:rPr>
                      <w:rFonts w:hint="eastAsia" w:ascii="宋体" w:hAnsi="宋体" w:eastAsia="宋体"/>
                      <w:color w:val="FF0000"/>
                      <w:sz w:val="24"/>
                      <w:szCs w:val="24"/>
                      <w:lang w:val="en-US" w:eastAsia="zh-CN"/>
                    </w:rPr>
                  </w:pPr>
                  <w:r>
                    <w:rPr>
                      <w:rFonts w:hint="eastAsia" w:ascii="宋体" w:hAnsi="宋体" w:eastAsia="宋体"/>
                      <w:color w:val="FF0000"/>
                      <w:sz w:val="24"/>
                      <w:szCs w:val="24"/>
                      <w:lang w:val="en-US" w:eastAsia="zh-CN"/>
                    </w:rPr>
                    <w:drawing>
                      <wp:inline distT="0" distB="0" distL="114300" distR="114300">
                        <wp:extent cx="5130800" cy="3848100"/>
                        <wp:effectExtent l="0" t="0" r="5080" b="7620"/>
                        <wp:docPr id="1" name="图片 1" descr="9fd7518c4d11f2273ee7ef71df1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fd7518c4d11f2273ee7ef71df12456"/>
                                <pic:cNvPicPr>
                                  <a:picLocks noChangeAspect="1"/>
                                </pic:cNvPicPr>
                              </pic:nvPicPr>
                              <pic:blipFill>
                                <a:blip r:embed="rId18"/>
                                <a:stretch>
                                  <a:fillRect/>
                                </a:stretch>
                              </pic:blipFill>
                              <pic:spPr>
                                <a:xfrm>
                                  <a:off x="0" y="0"/>
                                  <a:ext cx="5130800" cy="3848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96" w:type="dxa"/>
                </w:tcPr>
                <w:p>
                  <w:pPr>
                    <w:spacing w:after="0"/>
                    <w:ind w:left="-92" w:leftChars="-42"/>
                    <w:jc w:val="center"/>
                    <w:rPr>
                      <w:rFonts w:hint="eastAsia" w:ascii="宋体" w:hAnsi="宋体" w:eastAsia="宋体"/>
                      <w:color w:val="FF0000"/>
                      <w:sz w:val="24"/>
                      <w:szCs w:val="24"/>
                      <w:lang w:val="en-US" w:eastAsia="zh-CN"/>
                    </w:rPr>
                  </w:pPr>
                  <w:r>
                    <w:rPr>
                      <w:rFonts w:hint="eastAsia" w:ascii="宋体" w:hAnsi="宋体" w:eastAsia="宋体"/>
                      <w:color w:val="FF0000"/>
                      <w:sz w:val="24"/>
                      <w:szCs w:val="24"/>
                      <w:lang w:val="en-US" w:eastAsia="zh-CN"/>
                    </w:rPr>
                    <w:drawing>
                      <wp:inline distT="0" distB="0" distL="114300" distR="114300">
                        <wp:extent cx="5126990" cy="2275205"/>
                        <wp:effectExtent l="0" t="0" r="8890" b="10795"/>
                        <wp:docPr id="4" name="图片 4" descr="22f9b4ffafb29729f70cbeae181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f9b4ffafb29729f70cbeae1815219"/>
                                <pic:cNvPicPr>
                                  <a:picLocks noChangeAspect="1"/>
                                </pic:cNvPicPr>
                              </pic:nvPicPr>
                              <pic:blipFill>
                                <a:blip r:embed="rId19"/>
                                <a:stretch>
                                  <a:fillRect/>
                                </a:stretch>
                              </pic:blipFill>
                              <pic:spPr>
                                <a:xfrm>
                                  <a:off x="0" y="0"/>
                                  <a:ext cx="5126990" cy="2275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8296" w:type="dxa"/>
                </w:tcPr>
                <w:p>
                  <w:pPr>
                    <w:spacing w:after="0"/>
                    <w:ind w:left="-92" w:leftChars="-42"/>
                    <w:jc w:val="center"/>
                    <w:rPr>
                      <w:rFonts w:hint="eastAsia" w:ascii="宋体" w:hAnsi="宋体" w:eastAsia="宋体"/>
                      <w:color w:val="FF0000"/>
                      <w:sz w:val="24"/>
                      <w:szCs w:val="24"/>
                      <w:lang w:val="en-US" w:eastAsia="zh-CN"/>
                    </w:rPr>
                  </w:pPr>
                  <w:r>
                    <w:rPr>
                      <w:rFonts w:hint="eastAsia" w:ascii="宋体" w:hAnsi="宋体" w:eastAsia="宋体"/>
                      <w:color w:val="FF0000"/>
                      <w:sz w:val="24"/>
                      <w:szCs w:val="24"/>
                      <w:lang w:val="en-US" w:eastAsia="zh-CN"/>
                    </w:rPr>
                    <w:drawing>
                      <wp:inline distT="0" distB="0" distL="114300" distR="114300">
                        <wp:extent cx="4887595" cy="2707640"/>
                        <wp:effectExtent l="0" t="0" r="4445" b="5080"/>
                        <wp:docPr id="2" name="图片 2" descr="4292b74850efff8ea349d1fc6eba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292b74850efff8ea349d1fc6ebac71"/>
                                <pic:cNvPicPr>
                                  <a:picLocks noChangeAspect="1"/>
                                </pic:cNvPicPr>
                              </pic:nvPicPr>
                              <pic:blipFill>
                                <a:blip r:embed="rId20"/>
                                <a:srcRect t="36973" b="37461"/>
                                <a:stretch>
                                  <a:fillRect/>
                                </a:stretch>
                              </pic:blipFill>
                              <pic:spPr>
                                <a:xfrm>
                                  <a:off x="0" y="0"/>
                                  <a:ext cx="4887595" cy="27076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trPr>
              <w:tc>
                <w:tcPr>
                  <w:tcW w:w="8296" w:type="dxa"/>
                </w:tcPr>
                <w:p>
                  <w:pPr>
                    <w:spacing w:after="0"/>
                    <w:ind w:left="-92" w:leftChars="-42"/>
                    <w:rPr>
                      <w:rFonts w:hint="eastAsia" w:ascii="宋体" w:hAnsi="宋体" w:eastAsia="宋体"/>
                      <w:color w:val="FF0000"/>
                      <w:sz w:val="24"/>
                      <w:szCs w:val="24"/>
                      <w:lang w:eastAsia="zh-CN"/>
                    </w:rPr>
                  </w:pPr>
                  <w:r>
                    <w:rPr>
                      <w:rFonts w:hint="eastAsia" w:ascii="宋体" w:hAnsi="宋体" w:eastAsia="宋体"/>
                      <w:color w:val="FF0000"/>
                      <w:sz w:val="24"/>
                      <w:szCs w:val="24"/>
                      <w:lang w:eastAsia="zh-CN"/>
                    </w:rPr>
                    <w:drawing>
                      <wp:inline distT="0" distB="0" distL="114300" distR="114300">
                        <wp:extent cx="5128260" cy="2885440"/>
                        <wp:effectExtent l="0" t="0" r="7620" b="10160"/>
                        <wp:docPr id="3" name="图片 3" descr="dbe0ad2ef411c59bb858c8d379d5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be0ad2ef411c59bb858c8d379d5dff"/>
                                <pic:cNvPicPr>
                                  <a:picLocks noChangeAspect="1"/>
                                </pic:cNvPicPr>
                              </pic:nvPicPr>
                              <pic:blipFill>
                                <a:blip r:embed="rId21"/>
                                <a:stretch>
                                  <a:fillRect/>
                                </a:stretch>
                              </pic:blipFill>
                              <pic:spPr>
                                <a:xfrm>
                                  <a:off x="0" y="0"/>
                                  <a:ext cx="5128260" cy="2885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296" w:type="dxa"/>
                </w:tcPr>
                <w:p>
                  <w:pPr>
                    <w:spacing w:after="0"/>
                    <w:jc w:val="center"/>
                    <w:rPr>
                      <w:rFonts w:hint="default" w:ascii="宋体" w:hAnsi="宋体" w:eastAsia="宋体"/>
                      <w:color w:val="FF0000"/>
                      <w:sz w:val="24"/>
                      <w:szCs w:val="24"/>
                      <w:lang w:val="en-US" w:eastAsia="zh-CN"/>
                    </w:rPr>
                  </w:pPr>
                  <w:r>
                    <w:rPr>
                      <w:rFonts w:hint="eastAsia" w:ascii="宋体" w:hAnsi="宋体" w:eastAsia="宋体"/>
                      <w:color w:val="000000" w:themeColor="text1"/>
                      <w:sz w:val="24"/>
                      <w:szCs w:val="24"/>
                      <w:lang w:val="en-US" w:eastAsia="zh-CN"/>
                    </w:rPr>
                    <w:t>改造后新建</w:t>
                  </w:r>
                  <w:r>
                    <w:rPr>
                      <w:rFonts w:hint="eastAsia" w:ascii="Times New Roman" w:hAnsi="Times New Roman" w:eastAsia="宋体" w:cs="Times New Roman"/>
                      <w:color w:val="000000" w:themeColor="text1"/>
                      <w:sz w:val="24"/>
                      <w:lang w:val="en-US" w:eastAsia="zh-CN"/>
                    </w:rPr>
                    <w:t>穹顶网架结构焦棚及内部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296" w:type="dxa"/>
                </w:tcPr>
                <w:p>
                  <w:pPr>
                    <w:spacing w:after="0"/>
                    <w:jc w:val="center"/>
                    <w:rPr>
                      <w:rFonts w:hint="eastAsia"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drawing>
                      <wp:inline distT="0" distB="0" distL="114300" distR="114300">
                        <wp:extent cx="5029200" cy="3657600"/>
                        <wp:effectExtent l="0" t="0" r="0" b="0"/>
                        <wp:docPr id="5" name="图片 5" descr="a54d2efaae416c82ca6028ffde8a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54d2efaae416c82ca6028ffde8a66a"/>
                                <pic:cNvPicPr>
                                  <a:picLocks noChangeAspect="1"/>
                                </pic:cNvPicPr>
                              </pic:nvPicPr>
                              <pic:blipFill>
                                <a:blip r:embed="rId22"/>
                                <a:stretch>
                                  <a:fillRect/>
                                </a:stretch>
                              </pic:blipFill>
                              <pic:spPr>
                                <a:xfrm>
                                  <a:off x="0" y="0"/>
                                  <a:ext cx="5029200" cy="36576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296" w:type="dxa"/>
                </w:tcPr>
                <w:p>
                  <w:pPr>
                    <w:spacing w:after="0"/>
                    <w:jc w:val="center"/>
                    <w:rPr>
                      <w:rFonts w:hint="eastAsia"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drawing>
                      <wp:inline distT="0" distB="0" distL="114300" distR="114300">
                        <wp:extent cx="5130800" cy="3848100"/>
                        <wp:effectExtent l="0" t="0" r="5080" b="7620"/>
                        <wp:docPr id="10" name="图片 10" descr="5cf0690eb319c0113e2341711548d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cf0690eb319c0113e2341711548db4"/>
                                <pic:cNvPicPr>
                                  <a:picLocks noChangeAspect="1"/>
                                </pic:cNvPicPr>
                              </pic:nvPicPr>
                              <pic:blipFill>
                                <a:blip r:embed="rId23"/>
                                <a:stretch>
                                  <a:fillRect/>
                                </a:stretch>
                              </pic:blipFill>
                              <pic:spPr>
                                <a:xfrm>
                                  <a:off x="0" y="0"/>
                                  <a:ext cx="5130800" cy="3848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trPr>
              <w:tc>
                <w:tcPr>
                  <w:tcW w:w="8296" w:type="dxa"/>
                </w:tcPr>
                <w:p>
                  <w:pPr>
                    <w:spacing w:after="0"/>
                    <w:jc w:val="center"/>
                    <w:rPr>
                      <w:rFonts w:hint="default" w:ascii="宋体" w:hAnsi="宋体" w:eastAsia="宋体"/>
                      <w:color w:val="000000" w:themeColor="text1"/>
                      <w:sz w:val="24"/>
                      <w:szCs w:val="24"/>
                      <w:lang w:val="en-US" w:eastAsia="zh-CN"/>
                    </w:rPr>
                  </w:pPr>
                  <w:r>
                    <w:rPr>
                      <w:rFonts w:hint="eastAsia" w:ascii="宋体" w:hAnsi="宋体" w:eastAsia="宋体"/>
                      <w:color w:val="000000" w:themeColor="text1"/>
                      <w:sz w:val="24"/>
                      <w:szCs w:val="24"/>
                      <w:lang w:val="en-US" w:eastAsia="zh-CN"/>
                    </w:rPr>
                    <w:t>焦棚内雾炮</w:t>
                  </w:r>
                </w:p>
              </w:tc>
            </w:tr>
          </w:tbl>
          <w:p>
            <w:pPr>
              <w:tabs>
                <w:tab w:val="left" w:pos="2910"/>
              </w:tabs>
              <w:spacing w:after="0"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3.1.2噪声</w:t>
            </w:r>
          </w:p>
          <w:p>
            <w:pPr>
              <w:tabs>
                <w:tab w:val="left" w:pos="2910"/>
              </w:tabs>
              <w:spacing w:after="0" w:line="360" w:lineRule="auto"/>
              <w:ind w:firstLine="465"/>
              <w:rPr>
                <w:rFonts w:hint="default" w:ascii="宋体" w:hAnsi="宋体" w:eastAsia="宋体"/>
                <w:color w:val="000000" w:themeColor="text1"/>
                <w:sz w:val="24"/>
                <w:szCs w:val="24"/>
                <w:lang w:val="en-US" w:eastAsia="zh-CN"/>
              </w:rPr>
            </w:pPr>
            <w:r>
              <w:rPr>
                <w:rFonts w:ascii="宋体" w:hAnsi="宋体" w:eastAsia="宋体"/>
                <w:color w:val="000000" w:themeColor="text1"/>
                <w:sz w:val="24"/>
                <w:szCs w:val="24"/>
              </w:rPr>
              <w:t>项目</w:t>
            </w:r>
            <w:r>
              <w:rPr>
                <w:rFonts w:hint="eastAsia" w:ascii="宋体" w:hAnsi="宋体" w:eastAsia="宋体"/>
                <w:color w:val="000000" w:themeColor="text1"/>
                <w:sz w:val="24"/>
                <w:szCs w:val="24"/>
                <w:lang w:val="en-US" w:eastAsia="zh-CN"/>
              </w:rPr>
              <w:t>为焦场封闭工程，运行期间能有效减少露天作业的设备噪声，运行期间，本工程无噪声产生。</w:t>
            </w:r>
          </w:p>
          <w:p>
            <w:pPr>
              <w:spacing w:after="0" w:line="360" w:lineRule="auto"/>
              <w:rPr>
                <w:rFonts w:ascii="Times New Roman" w:hAnsi="宋体" w:eastAsia="宋体" w:cs="Times New Roman"/>
                <w:color w:val="000000" w:themeColor="text1"/>
                <w:sz w:val="24"/>
                <w:szCs w:val="24"/>
              </w:rPr>
            </w:pPr>
            <w:r>
              <w:rPr>
                <w:rFonts w:ascii="Times New Roman" w:hAnsi="Times New Roman" w:eastAsia="宋体" w:cs="Times New Roman"/>
                <w:color w:val="000000" w:themeColor="text1"/>
                <w:sz w:val="24"/>
                <w:szCs w:val="24"/>
              </w:rPr>
              <w:t>3.1.</w:t>
            </w:r>
            <w:r>
              <w:rPr>
                <w:rFonts w:hint="eastAsia" w:ascii="Times New Roman" w:hAnsi="Times New Roman" w:eastAsia="宋体" w:cs="Times New Roman"/>
                <w:color w:val="000000" w:themeColor="text1"/>
                <w:sz w:val="24"/>
                <w:szCs w:val="24"/>
              </w:rPr>
              <w:t>3</w:t>
            </w:r>
            <w:r>
              <w:rPr>
                <w:rFonts w:hint="eastAsia" w:ascii="Times New Roman" w:hAnsi="宋体" w:eastAsia="宋体" w:cs="Times New Roman"/>
                <w:color w:val="000000" w:themeColor="text1"/>
                <w:sz w:val="24"/>
                <w:szCs w:val="24"/>
              </w:rPr>
              <w:t>废水</w:t>
            </w:r>
          </w:p>
          <w:p>
            <w:pPr>
              <w:pStyle w:val="2"/>
              <w:ind w:left="0" w:leftChars="0" w:firstLine="480"/>
              <w:rPr>
                <w:rFonts w:ascii="宋体" w:hAnsi="宋体" w:eastAsia="宋体" w:cstheme="minorBidi"/>
                <w:color w:val="000000" w:themeColor="text1"/>
                <w:kern w:val="0"/>
                <w:sz w:val="24"/>
                <w:szCs w:val="24"/>
                <w:lang w:val="en-US" w:eastAsia="zh-CN" w:bidi="ar-SA"/>
              </w:rPr>
            </w:pPr>
            <w:r>
              <w:rPr>
                <w:rFonts w:hint="eastAsia" w:ascii="宋体" w:hAnsi="宋体" w:eastAsia="宋体" w:cstheme="minorBidi"/>
                <w:color w:val="000000" w:themeColor="text1"/>
                <w:kern w:val="0"/>
                <w:sz w:val="24"/>
                <w:szCs w:val="24"/>
                <w:lang w:val="en-US" w:eastAsia="zh-CN" w:bidi="ar-SA"/>
              </w:rPr>
              <w:t>项目无新增生产废水和生活污水。</w:t>
            </w:r>
          </w:p>
          <w:p>
            <w:pPr>
              <w:spacing w:after="0" w:line="360" w:lineRule="auto"/>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3.1.4固体废物</w:t>
            </w:r>
          </w:p>
          <w:p>
            <w:pPr>
              <w:pStyle w:val="2"/>
              <w:spacing w:after="0" w:line="360" w:lineRule="auto"/>
              <w:ind w:left="0" w:leftChars="0" w:firstLine="439" w:firstLineChars="183"/>
              <w:rPr>
                <w:color w:val="000000" w:themeColor="text1"/>
              </w:rPr>
            </w:pPr>
            <w:r>
              <w:rPr>
                <w:rFonts w:hint="eastAsia" w:hAnsi="宋体"/>
                <w:color w:val="000000" w:themeColor="text1"/>
                <w:sz w:val="24"/>
                <w:szCs w:val="24"/>
              </w:rPr>
              <w:t>项目运营过程中产生的固废主要为</w:t>
            </w:r>
            <w:r>
              <w:rPr>
                <w:rFonts w:hint="eastAsia" w:hAnsi="宋体"/>
                <w:color w:val="000000" w:themeColor="text1"/>
                <w:sz w:val="24"/>
                <w:szCs w:val="24"/>
                <w:lang w:val="en-US" w:eastAsia="zh-CN"/>
              </w:rPr>
              <w:t>生活垃圾，人员均为原厂人员无新增，无新增生活垃圾产生</w:t>
            </w:r>
            <w:r>
              <w:rPr>
                <w:rFonts w:hint="eastAsia" w:hAnsi="宋体"/>
                <w:color w:val="000000" w:themeColor="text1"/>
                <w:sz w:val="24"/>
                <w:szCs w:val="24"/>
              </w:rPr>
              <w:t>。</w:t>
            </w:r>
          </w:p>
          <w:p>
            <w:pPr>
              <w:spacing w:after="0" w:line="360" w:lineRule="auto"/>
              <w:ind w:firstLine="465"/>
              <w:rPr>
                <w:rFonts w:ascii="宋体" w:hAnsi="宋体" w:eastAsia="宋体"/>
                <w:color w:val="000000" w:themeColor="text1"/>
                <w:sz w:val="24"/>
                <w:szCs w:val="24"/>
              </w:rPr>
            </w:pPr>
            <w:r>
              <w:rPr>
                <w:rFonts w:hint="eastAsia" w:ascii="宋体" w:hAnsi="宋体" w:eastAsia="宋体"/>
                <w:color w:val="000000" w:themeColor="text1"/>
                <w:sz w:val="24"/>
                <w:szCs w:val="24"/>
              </w:rPr>
              <w:t>项目采取的污染物治理措施见表3-2。</w:t>
            </w:r>
          </w:p>
          <w:p>
            <w:pPr>
              <w:spacing w:after="0" w:line="360" w:lineRule="auto"/>
              <w:jc w:val="center"/>
              <w:rPr>
                <w:rFonts w:ascii="宋体" w:hAnsi="宋体" w:eastAsia="宋体"/>
                <w:color w:val="000000" w:themeColor="text1"/>
                <w:sz w:val="24"/>
                <w:szCs w:val="24"/>
              </w:rPr>
            </w:pPr>
            <w:r>
              <w:rPr>
                <w:rFonts w:hint="eastAsia" w:ascii="宋体" w:hAnsi="宋体" w:eastAsia="宋体"/>
                <w:color w:val="000000" w:themeColor="text1"/>
                <w:sz w:val="24"/>
                <w:szCs w:val="24"/>
              </w:rPr>
              <w:t>表3-2 污染物治理措施一览表</w:t>
            </w:r>
          </w:p>
          <w:tbl>
            <w:tblPr>
              <w:tblStyle w:val="23"/>
              <w:tblW w:w="832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2680"/>
              <w:gridCol w:w="1425"/>
              <w:gridCol w:w="32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00" w:type="dxa"/>
                  <w:vAlign w:val="center"/>
                </w:tcPr>
                <w:p>
                  <w:pPr>
                    <w:spacing w:after="0" w:line="240" w:lineRule="exact"/>
                    <w:jc w:val="center"/>
                    <w:rPr>
                      <w:rFonts w:ascii="Times New Roman" w:hAnsi="Times New Roman" w:eastAsia="宋体" w:cs="Times New Roman"/>
                      <w:color w:val="000000" w:themeColor="text1"/>
                      <w:sz w:val="21"/>
                      <w:szCs w:val="21"/>
                    </w:rPr>
                  </w:pPr>
                  <w:r>
                    <w:rPr>
                      <w:rFonts w:ascii="Times New Roman" w:hAnsi="宋体" w:eastAsia="宋体" w:cs="Times New Roman"/>
                      <w:color w:val="000000" w:themeColor="text1"/>
                      <w:sz w:val="21"/>
                      <w:szCs w:val="21"/>
                    </w:rPr>
                    <w:t>类别</w:t>
                  </w:r>
                </w:p>
              </w:tc>
              <w:tc>
                <w:tcPr>
                  <w:tcW w:w="2680" w:type="dxa"/>
                  <w:vAlign w:val="center"/>
                </w:tcPr>
                <w:p>
                  <w:pPr>
                    <w:spacing w:after="0" w:line="240" w:lineRule="exact"/>
                    <w:jc w:val="center"/>
                    <w:rPr>
                      <w:rFonts w:ascii="Times New Roman" w:hAnsi="Times New Roman" w:eastAsia="宋体" w:cs="Times New Roman"/>
                      <w:color w:val="000000" w:themeColor="text1"/>
                      <w:sz w:val="21"/>
                      <w:szCs w:val="21"/>
                    </w:rPr>
                  </w:pPr>
                  <w:r>
                    <w:rPr>
                      <w:rFonts w:ascii="Times New Roman" w:hAnsi="宋体" w:eastAsia="宋体" w:cs="Times New Roman"/>
                      <w:color w:val="000000" w:themeColor="text1"/>
                      <w:sz w:val="21"/>
                      <w:szCs w:val="21"/>
                    </w:rPr>
                    <w:t>排放源</w:t>
                  </w:r>
                </w:p>
              </w:tc>
              <w:tc>
                <w:tcPr>
                  <w:tcW w:w="1425" w:type="dxa"/>
                  <w:vAlign w:val="center"/>
                </w:tcPr>
                <w:p>
                  <w:pPr>
                    <w:spacing w:after="0" w:line="240" w:lineRule="exact"/>
                    <w:jc w:val="center"/>
                    <w:rPr>
                      <w:rFonts w:ascii="Times New Roman" w:hAnsi="Times New Roman" w:eastAsia="宋体" w:cs="Times New Roman"/>
                      <w:color w:val="000000" w:themeColor="text1"/>
                      <w:sz w:val="21"/>
                      <w:szCs w:val="21"/>
                    </w:rPr>
                  </w:pPr>
                  <w:r>
                    <w:rPr>
                      <w:rFonts w:ascii="Times New Roman" w:hAnsi="宋体" w:eastAsia="宋体" w:cs="Times New Roman"/>
                      <w:color w:val="000000" w:themeColor="text1"/>
                      <w:sz w:val="21"/>
                      <w:szCs w:val="21"/>
                    </w:rPr>
                    <w:t>污染物名称</w:t>
                  </w:r>
                </w:p>
              </w:tc>
              <w:tc>
                <w:tcPr>
                  <w:tcW w:w="3215" w:type="dxa"/>
                  <w:vAlign w:val="center"/>
                </w:tcPr>
                <w:p>
                  <w:pPr>
                    <w:spacing w:after="0" w:line="240" w:lineRule="exact"/>
                    <w:jc w:val="center"/>
                    <w:rPr>
                      <w:rFonts w:ascii="Times New Roman" w:hAnsi="Times New Roman" w:eastAsia="宋体" w:cs="Times New Roman"/>
                      <w:color w:val="000000" w:themeColor="text1"/>
                      <w:sz w:val="21"/>
                      <w:szCs w:val="21"/>
                    </w:rPr>
                  </w:pPr>
                  <w:r>
                    <w:rPr>
                      <w:rFonts w:ascii="Times New Roman" w:hAnsi="宋体" w:eastAsia="宋体" w:cs="Times New Roman"/>
                      <w:color w:val="000000" w:themeColor="text1"/>
                      <w:sz w:val="21"/>
                      <w:szCs w:val="21"/>
                    </w:rPr>
                    <w:t>防治措施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000" w:type="dxa"/>
                  <w:vAlign w:val="center"/>
                </w:tcPr>
                <w:p>
                  <w:pPr>
                    <w:spacing w:after="0" w:line="240" w:lineRule="exact"/>
                    <w:jc w:val="center"/>
                    <w:rPr>
                      <w:rFonts w:ascii="Times New Roman" w:hAnsi="Times New Roman" w:eastAsia="宋体" w:cs="Times New Roman"/>
                      <w:color w:val="000000" w:themeColor="text1"/>
                      <w:sz w:val="21"/>
                      <w:szCs w:val="21"/>
                    </w:rPr>
                  </w:pPr>
                  <w:r>
                    <w:rPr>
                      <w:rFonts w:ascii="Times New Roman" w:hAnsi="宋体" w:eastAsia="宋体" w:cs="Times New Roman"/>
                      <w:color w:val="000000" w:themeColor="text1"/>
                      <w:sz w:val="21"/>
                      <w:szCs w:val="21"/>
                    </w:rPr>
                    <w:t>大气污染物</w:t>
                  </w:r>
                </w:p>
              </w:tc>
              <w:tc>
                <w:tcPr>
                  <w:tcW w:w="2680" w:type="dxa"/>
                  <w:vAlign w:val="center"/>
                </w:tcPr>
                <w:p>
                  <w:pPr>
                    <w:spacing w:after="0"/>
                    <w:jc w:val="center"/>
                    <w:rPr>
                      <w:rFonts w:hint="default" w:ascii="Times New Roman" w:hAnsi="宋体" w:eastAsia="宋体" w:cs="Times New Roman"/>
                      <w:color w:val="000000" w:themeColor="text1"/>
                      <w:sz w:val="21"/>
                      <w:szCs w:val="21"/>
                      <w:lang w:val="en-US" w:eastAsia="zh-CN"/>
                    </w:rPr>
                  </w:pPr>
                  <w:r>
                    <w:rPr>
                      <w:rFonts w:hint="eastAsia" w:ascii="Times New Roman" w:hAnsi="宋体" w:eastAsia="宋体" w:cs="Times New Roman"/>
                      <w:color w:val="000000" w:themeColor="text1"/>
                      <w:sz w:val="21"/>
                      <w:szCs w:val="21"/>
                      <w:lang w:val="en-US" w:eastAsia="zh-CN"/>
                    </w:rPr>
                    <w:t>装卸、运输粉尘</w:t>
                  </w:r>
                </w:p>
              </w:tc>
              <w:tc>
                <w:tcPr>
                  <w:tcW w:w="1425" w:type="dxa"/>
                  <w:vAlign w:val="center"/>
                </w:tcPr>
                <w:p>
                  <w:pPr>
                    <w:spacing w:after="0"/>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rPr>
                    <w:t>颗粒物</w:t>
                  </w:r>
                </w:p>
              </w:tc>
              <w:tc>
                <w:tcPr>
                  <w:tcW w:w="3215" w:type="dxa"/>
                  <w:vAlign w:val="center"/>
                </w:tcPr>
                <w:p>
                  <w:pPr>
                    <w:pStyle w:val="12"/>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新建</w:t>
                  </w:r>
                  <w:r>
                    <w:rPr>
                      <w:rFonts w:hint="eastAsia" w:ascii="Times New Roman" w:hAnsi="Times New Roman" w:eastAsia="宋体" w:cs="Times New Roman"/>
                      <w:color w:val="000000" w:themeColor="text1"/>
                      <w:sz w:val="21"/>
                      <w:szCs w:val="21"/>
                      <w:lang w:val="en-US" w:eastAsia="zh-CN"/>
                    </w:rPr>
                    <w:t>穹顶网架结构将焦场封闭</w:t>
                  </w:r>
                  <w:r>
                    <w:rPr>
                      <w:rFonts w:hint="eastAsia" w:cs="Times New Roman"/>
                      <w:color w:val="000000" w:themeColor="text1"/>
                      <w:sz w:val="21"/>
                      <w:szCs w:val="21"/>
                      <w:lang w:val="en-US" w:eastAsia="zh-CN"/>
                    </w:rPr>
                    <w:t>，减少粉尘逸散</w:t>
                  </w:r>
                </w:p>
              </w:tc>
            </w:tr>
          </w:tbl>
          <w:p>
            <w:pPr>
              <w:pStyle w:val="9"/>
              <w:rPr>
                <w:color w:val="000000" w:themeColor="text1"/>
              </w:rPr>
            </w:pPr>
            <w:bookmarkStart w:id="12" w:name="_Toc4009310"/>
            <w:r>
              <w:rPr>
                <w:rFonts w:hint="eastAsia"/>
                <w:color w:val="000000" w:themeColor="text1"/>
              </w:rPr>
              <w:t>3.2其他环境保护设施</w:t>
            </w:r>
            <w:bookmarkEnd w:id="12"/>
          </w:p>
          <w:p>
            <w:pPr>
              <w:pStyle w:val="12"/>
              <w:keepNext w:val="0"/>
              <w:keepLines w:val="0"/>
              <w:pageBreakBefore w:val="0"/>
              <w:kinsoku/>
              <w:wordWrap/>
              <w:overflowPunct/>
              <w:topLinePunct w:val="0"/>
              <w:autoSpaceDE/>
              <w:autoSpaceDN/>
              <w:bidi w:val="0"/>
              <w:spacing w:line="360" w:lineRule="auto"/>
              <w:ind w:firstLine="480" w:firstLineChars="200"/>
              <w:textAlignment w:val="auto"/>
              <w:rPr>
                <w:rFonts w:hint="eastAsia" w:hAnsi="宋体" w:cs="Times New Roman"/>
                <w:color w:val="000000" w:themeColor="text1"/>
                <w:kern w:val="0"/>
                <w:sz w:val="24"/>
                <w:szCs w:val="24"/>
                <w:lang w:val="en-US" w:eastAsia="zh-CN" w:bidi="ar-SA"/>
              </w:rPr>
            </w:pPr>
            <w:r>
              <w:rPr>
                <w:rFonts w:hint="eastAsia" w:ascii="Times New Roman" w:hAnsi="宋体" w:eastAsia="宋体" w:cs="Times New Roman"/>
                <w:color w:val="000000" w:themeColor="text1"/>
                <w:kern w:val="0"/>
                <w:sz w:val="24"/>
                <w:szCs w:val="24"/>
                <w:lang w:val="en-US" w:eastAsia="zh-CN" w:bidi="ar-SA"/>
              </w:rPr>
              <w:t>本项目为</w:t>
            </w:r>
            <w:r>
              <w:rPr>
                <w:rFonts w:hint="eastAsia" w:hAnsi="宋体" w:cs="Times New Roman"/>
                <w:color w:val="000000" w:themeColor="text1"/>
                <w:kern w:val="0"/>
                <w:sz w:val="24"/>
                <w:szCs w:val="24"/>
                <w:lang w:val="en-US" w:eastAsia="zh-CN" w:bidi="ar-SA"/>
              </w:rPr>
              <w:t>焦场封闭</w:t>
            </w:r>
            <w:r>
              <w:rPr>
                <w:rFonts w:hint="eastAsia" w:ascii="Times New Roman" w:hAnsi="宋体" w:eastAsia="宋体" w:cs="Times New Roman"/>
                <w:color w:val="000000" w:themeColor="text1"/>
                <w:kern w:val="0"/>
                <w:sz w:val="24"/>
                <w:szCs w:val="24"/>
                <w:lang w:val="en-US" w:eastAsia="zh-CN" w:bidi="ar-SA"/>
              </w:rPr>
              <w:t>项目，</w:t>
            </w:r>
            <w:r>
              <w:rPr>
                <w:rFonts w:hint="eastAsia" w:hAnsi="宋体" w:cs="Times New Roman"/>
                <w:color w:val="000000" w:themeColor="text1"/>
                <w:kern w:val="0"/>
                <w:sz w:val="24"/>
                <w:szCs w:val="24"/>
                <w:lang w:val="en-US" w:eastAsia="zh-CN" w:bidi="ar-SA"/>
              </w:rPr>
              <w:t>不涉及生产运行，焦棚内设置雾炮及消防炮，并配备射灯，做到了抑尘功能及消防作用。</w:t>
            </w:r>
          </w:p>
          <w:p>
            <w:pPr>
              <w:pStyle w:val="12"/>
              <w:keepNext w:val="0"/>
              <w:keepLines w:val="0"/>
              <w:pageBreakBefore w:val="0"/>
              <w:kinsoku/>
              <w:wordWrap/>
              <w:overflowPunct/>
              <w:topLinePunct w:val="0"/>
              <w:autoSpaceDE/>
              <w:autoSpaceDN/>
              <w:bidi w:val="0"/>
              <w:spacing w:line="360" w:lineRule="auto"/>
              <w:ind w:left="0" w:leftChars="0" w:firstLine="0" w:firstLineChars="0"/>
              <w:textAlignment w:val="auto"/>
              <w:rPr>
                <w:rFonts w:hint="eastAsia" w:hAnsi="宋体" w:cs="Times New Roman"/>
                <w:color w:val="000000" w:themeColor="text1"/>
                <w:kern w:val="0"/>
                <w:sz w:val="24"/>
                <w:szCs w:val="24"/>
                <w:lang w:val="en-US" w:eastAsia="zh-CN" w:bidi="ar-SA"/>
              </w:rPr>
            </w:pPr>
            <w:r>
              <w:rPr>
                <w:rFonts w:hint="eastAsia" w:hAnsi="宋体" w:cs="Times New Roman"/>
                <w:color w:val="000000" w:themeColor="text1"/>
                <w:kern w:val="0"/>
                <w:sz w:val="24"/>
                <w:szCs w:val="24"/>
                <w:lang w:val="en-US" w:eastAsia="zh-CN" w:bidi="ar-SA"/>
              </w:rPr>
              <w:drawing>
                <wp:inline distT="0" distB="0" distL="114300" distR="114300">
                  <wp:extent cx="5266690" cy="4829175"/>
                  <wp:effectExtent l="0" t="0" r="10160" b="9525"/>
                  <wp:docPr id="12" name="图片 12" descr="f2330133eab40307cb1579cde379d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330133eab40307cb1579cde379dfe"/>
                          <pic:cNvPicPr>
                            <a:picLocks noChangeAspect="1"/>
                          </pic:cNvPicPr>
                        </pic:nvPicPr>
                        <pic:blipFill>
                          <a:blip r:embed="rId24"/>
                          <a:srcRect t="20353" b="10855"/>
                          <a:stretch>
                            <a:fillRect/>
                          </a:stretch>
                        </pic:blipFill>
                        <pic:spPr>
                          <a:xfrm>
                            <a:off x="0" y="0"/>
                            <a:ext cx="5266690" cy="4829175"/>
                          </a:xfrm>
                          <a:prstGeom prst="rect">
                            <a:avLst/>
                          </a:prstGeom>
                        </pic:spPr>
                      </pic:pic>
                    </a:graphicData>
                  </a:graphic>
                </wp:inline>
              </w:drawing>
            </w:r>
          </w:p>
          <w:p>
            <w:pPr>
              <w:pStyle w:val="12"/>
              <w:keepNext w:val="0"/>
              <w:keepLines w:val="0"/>
              <w:pageBreakBefore w:val="0"/>
              <w:kinsoku/>
              <w:wordWrap/>
              <w:overflowPunct/>
              <w:topLinePunct w:val="0"/>
              <w:autoSpaceDE/>
              <w:autoSpaceDN/>
              <w:bidi w:val="0"/>
              <w:spacing w:line="360" w:lineRule="auto"/>
              <w:ind w:firstLine="480" w:firstLineChars="200"/>
              <w:textAlignment w:val="auto"/>
              <w:rPr>
                <w:rFonts w:hint="default" w:hAnsi="宋体" w:cs="Times New Roman"/>
                <w:color w:val="000000" w:themeColor="text1"/>
                <w:kern w:val="0"/>
                <w:sz w:val="24"/>
                <w:szCs w:val="24"/>
                <w:lang w:val="en-US" w:eastAsia="zh-CN" w:bidi="ar-SA"/>
              </w:rPr>
            </w:pPr>
            <w:r>
              <w:rPr>
                <w:rFonts w:hint="eastAsia" w:hAnsi="宋体" w:cs="Times New Roman"/>
                <w:color w:val="000000" w:themeColor="text1"/>
                <w:kern w:val="0"/>
                <w:sz w:val="24"/>
                <w:szCs w:val="24"/>
                <w:lang w:val="en-US" w:eastAsia="zh-CN" w:bidi="ar-SA"/>
              </w:rPr>
              <w:t>本公司已编制应急预案，并在环保局备案。</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宋体" w:eastAsia="宋体" w:cs="Times New Roman"/>
                <w:color w:val="000000" w:themeColor="text1"/>
                <w:kern w:val="0"/>
                <w:sz w:val="24"/>
                <w:szCs w:val="24"/>
                <w:lang w:val="en-US" w:eastAsia="zh-CN" w:bidi="ar-SA"/>
              </w:rPr>
            </w:pPr>
            <w:r>
              <w:rPr>
                <w:rFonts w:hint="eastAsia" w:ascii="Times New Roman" w:hAnsi="宋体" w:eastAsia="宋体" w:cs="Times New Roman"/>
                <w:color w:val="000000" w:themeColor="text1"/>
                <w:kern w:val="0"/>
                <w:sz w:val="24"/>
                <w:szCs w:val="24"/>
                <w:lang w:val="en-US" w:eastAsia="zh-CN" w:bidi="ar-SA"/>
              </w:rPr>
              <w:t>本工程为无组织粉尘治理工程，通过封闭焦场，减少在运输、装卸过程产生的粉尘，未设置有组织排气筒。</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hint="eastAsia"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lang w:val="en-US" w:eastAsia="zh-CN"/>
              </w:rPr>
              <w:t>公司</w:t>
            </w:r>
            <w:r>
              <w:rPr>
                <w:rFonts w:hint="eastAsia" w:ascii="Times New Roman" w:hAnsi="宋体" w:eastAsia="宋体" w:cs="Times New Roman"/>
                <w:color w:val="000000" w:themeColor="text1"/>
                <w:sz w:val="24"/>
                <w:szCs w:val="24"/>
                <w:lang w:eastAsia="zh-CN"/>
              </w:rPr>
              <w:t>已办理排污许可证，并制定检测方案，</w:t>
            </w:r>
            <w:r>
              <w:rPr>
                <w:rFonts w:hint="eastAsia" w:ascii="Times New Roman" w:hAnsi="宋体" w:eastAsia="宋体" w:cs="Times New Roman"/>
                <w:color w:val="000000" w:themeColor="text1"/>
                <w:sz w:val="24"/>
                <w:szCs w:val="24"/>
                <w:lang w:val="en-US" w:eastAsia="zh-CN"/>
              </w:rPr>
              <w:t>纳入年度检测计划中</w:t>
            </w:r>
            <w:r>
              <w:rPr>
                <w:rFonts w:hint="eastAsia" w:ascii="Times New Roman" w:hAnsi="宋体" w:eastAsia="宋体" w:cs="Times New Roman"/>
                <w:color w:val="000000" w:themeColor="text1"/>
                <w:sz w:val="24"/>
                <w:szCs w:val="24"/>
              </w:rPr>
              <w:t>。</w:t>
            </w:r>
          </w:p>
          <w:p>
            <w:pPr>
              <w:pStyle w:val="2"/>
              <w:ind w:left="438" w:leftChars="0" w:hanging="438" w:hangingChars="209"/>
              <w:rPr>
                <w:rFonts w:hint="eastAsia"/>
                <w:color w:val="FF0000"/>
              </w:rPr>
            </w:pPr>
            <w:r>
              <w:rPr>
                <w:rFonts w:hint="default"/>
                <w:color w:val="FF0000"/>
                <w:lang w:val="en-US" w:eastAsia="zh-CN"/>
              </w:rPr>
              <w:drawing>
                <wp:inline distT="0" distB="0" distL="114300" distR="114300">
                  <wp:extent cx="5081905" cy="3186430"/>
                  <wp:effectExtent l="0" t="0" r="4445" b="13970"/>
                  <wp:docPr id="6" name="图片 1" descr="165710313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1657103135748"/>
                          <pic:cNvPicPr>
                            <a:picLocks noChangeAspect="1"/>
                          </pic:cNvPicPr>
                        </pic:nvPicPr>
                        <pic:blipFill>
                          <a:blip r:embed="rId25"/>
                          <a:stretch>
                            <a:fillRect/>
                          </a:stretch>
                        </pic:blipFill>
                        <pic:spPr>
                          <a:xfrm>
                            <a:off x="0" y="0"/>
                            <a:ext cx="5081905" cy="3186430"/>
                          </a:xfrm>
                          <a:prstGeom prst="rect">
                            <a:avLst/>
                          </a:prstGeom>
                          <a:noFill/>
                          <a:ln>
                            <a:noFill/>
                          </a:ln>
                        </pic:spPr>
                      </pic:pic>
                    </a:graphicData>
                  </a:graphic>
                </wp:inline>
              </w:drawing>
            </w:r>
          </w:p>
          <w:p>
            <w:pPr>
              <w:pStyle w:val="9"/>
              <w:rPr>
                <w:color w:val="000000" w:themeColor="text1"/>
              </w:rPr>
            </w:pPr>
            <w:bookmarkStart w:id="13" w:name="_Toc4009311"/>
            <w:r>
              <w:rPr>
                <w:rFonts w:hint="eastAsia"/>
                <w:color w:val="000000" w:themeColor="text1"/>
              </w:rPr>
              <w:t>3.3环保设施投资及“三同时”落实情况</w:t>
            </w:r>
            <w:bookmarkEnd w:id="13"/>
          </w:p>
          <w:p>
            <w:pPr>
              <w:spacing w:after="0"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3.3.1环保投资情况</w:t>
            </w:r>
          </w:p>
          <w:p>
            <w:pPr>
              <w:spacing w:after="0" w:line="360" w:lineRule="auto"/>
              <w:ind w:firstLine="480" w:firstLineChars="200"/>
              <w:rPr>
                <w:rFonts w:ascii="宋体" w:hAnsi="宋体" w:eastAsia="宋体"/>
                <w:color w:val="000000" w:themeColor="text1"/>
                <w:sz w:val="24"/>
                <w:szCs w:val="24"/>
              </w:rPr>
            </w:pPr>
            <w:r>
              <w:rPr>
                <w:rFonts w:hint="eastAsia" w:ascii="宋体" w:hAnsi="宋体" w:eastAsia="宋体"/>
                <w:color w:val="000000" w:themeColor="text1"/>
                <w:sz w:val="24"/>
                <w:szCs w:val="24"/>
              </w:rPr>
              <w:t>本项目计划投资</w:t>
            </w:r>
            <w:r>
              <w:rPr>
                <w:rFonts w:hint="eastAsia" w:ascii="宋体" w:hAnsi="宋体" w:eastAsia="宋体"/>
                <w:color w:val="000000" w:themeColor="text1"/>
                <w:sz w:val="24"/>
                <w:szCs w:val="24"/>
                <w:lang w:val="en-US" w:eastAsia="zh-CN"/>
              </w:rPr>
              <w:t>4100</w:t>
            </w:r>
            <w:r>
              <w:rPr>
                <w:rFonts w:hint="eastAsia" w:ascii="宋体" w:hAnsi="宋体" w:eastAsia="宋体"/>
                <w:color w:val="000000" w:themeColor="text1"/>
                <w:sz w:val="24"/>
                <w:szCs w:val="24"/>
              </w:rPr>
              <w:t>万，实际总投资</w:t>
            </w:r>
            <w:r>
              <w:rPr>
                <w:rFonts w:hint="eastAsia" w:ascii="宋体" w:hAnsi="宋体" w:eastAsia="宋体"/>
                <w:color w:val="000000" w:themeColor="text1"/>
                <w:sz w:val="24"/>
                <w:szCs w:val="24"/>
                <w:lang w:val="en-US" w:eastAsia="zh-CN"/>
              </w:rPr>
              <w:t>3858</w:t>
            </w:r>
            <w:r>
              <w:rPr>
                <w:rFonts w:hint="eastAsia" w:ascii="宋体" w:hAnsi="宋体" w:eastAsia="宋体"/>
                <w:color w:val="000000" w:themeColor="text1"/>
                <w:sz w:val="24"/>
                <w:szCs w:val="24"/>
              </w:rPr>
              <w:t>万元，全部为环保投资，环保投资占总投资的100%，主要</w:t>
            </w:r>
            <w:r>
              <w:rPr>
                <w:rFonts w:hint="eastAsia" w:ascii="宋体" w:hAnsi="宋体" w:eastAsia="宋体"/>
                <w:color w:val="000000" w:themeColor="text1"/>
                <w:sz w:val="24"/>
                <w:szCs w:val="24"/>
                <w:lang w:val="en-US" w:eastAsia="zh-CN"/>
              </w:rPr>
              <w:t>新建</w:t>
            </w:r>
            <w:r>
              <w:rPr>
                <w:rFonts w:hint="eastAsia" w:ascii="Times New Roman" w:hAnsi="Times New Roman" w:eastAsia="宋体" w:cs="Times New Roman"/>
                <w:color w:val="000000" w:themeColor="text1"/>
                <w:sz w:val="24"/>
                <w:lang w:val="en-US" w:eastAsia="zh-CN"/>
              </w:rPr>
              <w:t>穹顶网架结构将焦场封闭</w:t>
            </w:r>
            <w:r>
              <w:rPr>
                <w:rFonts w:hint="eastAsia" w:ascii="宋体" w:hAnsi="宋体" w:eastAsia="宋体"/>
                <w:color w:val="000000" w:themeColor="text1"/>
                <w:sz w:val="24"/>
                <w:szCs w:val="24"/>
              </w:rPr>
              <w:t>，环保设施投资情况见下表：</w:t>
            </w:r>
          </w:p>
          <w:p>
            <w:pPr>
              <w:spacing w:after="0" w:line="360" w:lineRule="auto"/>
              <w:jc w:val="center"/>
              <w:rPr>
                <w:rFonts w:ascii="宋体" w:hAnsi="宋体" w:eastAsia="宋体"/>
                <w:color w:val="000000" w:themeColor="text1"/>
                <w:sz w:val="24"/>
                <w:szCs w:val="24"/>
              </w:rPr>
            </w:pPr>
            <w:r>
              <w:rPr>
                <w:rFonts w:hint="eastAsia" w:ascii="宋体" w:hAnsi="宋体" w:eastAsia="宋体"/>
                <w:color w:val="000000" w:themeColor="text1"/>
                <w:sz w:val="24"/>
                <w:szCs w:val="24"/>
              </w:rPr>
              <w:t>表3-</w:t>
            </w:r>
            <w:r>
              <w:rPr>
                <w:rFonts w:hint="eastAsia" w:ascii="宋体" w:hAnsi="宋体" w:eastAsia="宋体"/>
                <w:color w:val="000000" w:themeColor="text1"/>
                <w:sz w:val="24"/>
                <w:szCs w:val="24"/>
                <w:lang w:val="en-US" w:eastAsia="zh-CN"/>
              </w:rPr>
              <w:t>4</w:t>
            </w:r>
            <w:r>
              <w:rPr>
                <w:rFonts w:hint="eastAsia" w:ascii="宋体" w:hAnsi="宋体" w:eastAsia="宋体"/>
                <w:color w:val="000000" w:themeColor="text1"/>
                <w:sz w:val="24"/>
                <w:szCs w:val="24"/>
              </w:rPr>
              <w:t xml:space="preserve"> 环保设施投资一览表</w:t>
            </w:r>
          </w:p>
          <w:tbl>
            <w:tblPr>
              <w:tblStyle w:val="22"/>
              <w:tblW w:w="8304"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75"/>
              <w:gridCol w:w="566"/>
              <w:gridCol w:w="1402"/>
              <w:gridCol w:w="3001"/>
              <w:gridCol w:w="1380"/>
              <w:gridCol w:w="1380"/>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7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spacing w:val="4"/>
                      <w:sz w:val="21"/>
                      <w:szCs w:val="21"/>
                    </w:rPr>
                  </w:pPr>
                  <w:r>
                    <w:rPr>
                      <w:rFonts w:hint="default" w:ascii="Times New Roman" w:hAnsi="Times New Roman" w:eastAsia="宋体" w:cs="Times New Roman"/>
                      <w:b/>
                      <w:color w:val="000000" w:themeColor="text1"/>
                      <w:spacing w:val="4"/>
                      <w:sz w:val="21"/>
                      <w:szCs w:val="21"/>
                    </w:rPr>
                    <w:t>序号</w:t>
                  </w:r>
                </w:p>
              </w:tc>
              <w:tc>
                <w:tcPr>
                  <w:tcW w:w="5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spacing w:val="4"/>
                      <w:sz w:val="21"/>
                      <w:szCs w:val="21"/>
                    </w:rPr>
                  </w:pPr>
                  <w:r>
                    <w:rPr>
                      <w:rFonts w:hint="default" w:ascii="Times New Roman" w:hAnsi="Times New Roman" w:eastAsia="宋体" w:cs="Times New Roman"/>
                      <w:b/>
                      <w:color w:val="000000" w:themeColor="text1"/>
                      <w:spacing w:val="4"/>
                      <w:sz w:val="21"/>
                      <w:szCs w:val="21"/>
                    </w:rPr>
                    <w:t>类别</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spacing w:val="4"/>
                      <w:sz w:val="21"/>
                      <w:szCs w:val="21"/>
                    </w:rPr>
                  </w:pPr>
                  <w:r>
                    <w:rPr>
                      <w:rFonts w:hint="default" w:ascii="Times New Roman" w:hAnsi="Times New Roman" w:eastAsia="宋体" w:cs="Times New Roman"/>
                      <w:b/>
                      <w:color w:val="000000" w:themeColor="text1"/>
                      <w:spacing w:val="4"/>
                      <w:sz w:val="21"/>
                      <w:szCs w:val="21"/>
                    </w:rPr>
                    <w:t>污染源</w:t>
                  </w:r>
                </w:p>
              </w:tc>
              <w:tc>
                <w:tcPr>
                  <w:tcW w:w="300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color w:val="000000" w:themeColor="text1"/>
                      <w:spacing w:val="4"/>
                      <w:sz w:val="21"/>
                      <w:szCs w:val="21"/>
                    </w:rPr>
                  </w:pPr>
                  <w:r>
                    <w:rPr>
                      <w:rFonts w:hint="default" w:ascii="Times New Roman" w:hAnsi="Times New Roman" w:eastAsia="宋体" w:cs="Times New Roman"/>
                      <w:b/>
                      <w:color w:val="000000" w:themeColor="text1"/>
                      <w:spacing w:val="4"/>
                      <w:sz w:val="21"/>
                      <w:szCs w:val="21"/>
                    </w:rPr>
                    <w:t>主要内容</w:t>
                  </w:r>
                </w:p>
              </w:tc>
              <w:tc>
                <w:tcPr>
                  <w:tcW w:w="13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环评预计投资额</w:t>
                  </w:r>
                </w:p>
              </w:tc>
              <w:tc>
                <w:tcPr>
                  <w:tcW w:w="13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eastAsia="zh-CN"/>
                    </w:rPr>
                    <w:t>实际</w:t>
                  </w:r>
                  <w:r>
                    <w:rPr>
                      <w:rFonts w:hint="default" w:ascii="Times New Roman" w:hAnsi="Times New Roman" w:eastAsia="宋体" w:cs="Times New Roman"/>
                      <w:color w:val="000000" w:themeColor="text1"/>
                      <w:sz w:val="21"/>
                      <w:szCs w:val="21"/>
                    </w:rPr>
                    <w:t>投资额</w:t>
                  </w:r>
                </w:p>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eastAsia="zh-CN"/>
                    </w:rPr>
                    <w:t>（万元）</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01" w:hRule="atLeast"/>
                <w:jc w:val="center"/>
              </w:trPr>
              <w:tc>
                <w:tcPr>
                  <w:tcW w:w="575"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1</w:t>
                  </w:r>
                </w:p>
              </w:tc>
              <w:tc>
                <w:tcPr>
                  <w:tcW w:w="566"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废气</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堆场运输、装卸</w:t>
                  </w:r>
                </w:p>
              </w:tc>
              <w:tc>
                <w:tcPr>
                  <w:tcW w:w="3001"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4"/>
                      <w:sz w:val="21"/>
                      <w:szCs w:val="21"/>
                      <w:lang w:val="en-US"/>
                    </w:rPr>
                  </w:pPr>
                  <w:r>
                    <w:rPr>
                      <w:rFonts w:hint="eastAsia" w:ascii="Times New Roman" w:hAnsi="Times New Roman" w:eastAsia="宋体" w:cs="Times New Roman"/>
                      <w:color w:val="000000" w:themeColor="text1"/>
                      <w:sz w:val="21"/>
                      <w:szCs w:val="21"/>
                      <w:lang w:val="en-US" w:eastAsia="zh-CN"/>
                    </w:rPr>
                    <w:t>穹顶网架结构将焦场封闭及抑尘、消防、照明设施</w:t>
                  </w:r>
                </w:p>
              </w:tc>
              <w:tc>
                <w:tcPr>
                  <w:tcW w:w="13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4100</w:t>
                  </w:r>
                </w:p>
              </w:tc>
              <w:tc>
                <w:tcPr>
                  <w:tcW w:w="13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3858</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5544" w:type="dxa"/>
                  <w:gridSpan w:val="4"/>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pacing w:val="-8"/>
                      <w:sz w:val="21"/>
                      <w:szCs w:val="21"/>
                    </w:rPr>
                  </w:pPr>
                  <w:r>
                    <w:rPr>
                      <w:rFonts w:hint="default" w:ascii="Times New Roman" w:hAnsi="Times New Roman" w:eastAsia="宋体" w:cs="Times New Roman"/>
                      <w:color w:val="000000" w:themeColor="text1"/>
                      <w:spacing w:val="-8"/>
                      <w:sz w:val="21"/>
                      <w:szCs w:val="21"/>
                    </w:rPr>
                    <w:t>合计</w:t>
                  </w:r>
                </w:p>
              </w:tc>
              <w:tc>
                <w:tcPr>
                  <w:tcW w:w="13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4100</w:t>
                  </w:r>
                </w:p>
              </w:tc>
              <w:tc>
                <w:tcPr>
                  <w:tcW w:w="1380" w:type="dxa"/>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3858</w:t>
                  </w:r>
                </w:p>
              </w:tc>
            </w:tr>
          </w:tbl>
          <w:p>
            <w:pPr>
              <w:spacing w:after="0" w:line="360" w:lineRule="auto"/>
              <w:rPr>
                <w:rFonts w:ascii="宋体" w:hAnsi="宋体" w:eastAsia="宋体"/>
                <w:color w:val="000000" w:themeColor="text1"/>
                <w:sz w:val="24"/>
                <w:szCs w:val="24"/>
              </w:rPr>
            </w:pPr>
            <w:r>
              <w:rPr>
                <w:rFonts w:hint="eastAsia" w:ascii="宋体" w:hAnsi="宋体" w:eastAsia="宋体"/>
                <w:color w:val="000000" w:themeColor="text1"/>
                <w:sz w:val="24"/>
                <w:szCs w:val="24"/>
              </w:rPr>
              <w:t>3.3.2“三同时”落实情况</w:t>
            </w:r>
          </w:p>
          <w:p>
            <w:pPr>
              <w:spacing w:after="0" w:line="360" w:lineRule="auto"/>
              <w:ind w:firstLine="465"/>
              <w:rPr>
                <w:rFonts w:ascii="宋体" w:hAnsi="宋体" w:eastAsia="宋体"/>
                <w:color w:val="000000" w:themeColor="text1"/>
                <w:sz w:val="24"/>
                <w:szCs w:val="24"/>
              </w:rPr>
            </w:pPr>
            <w:r>
              <w:rPr>
                <w:rFonts w:hint="eastAsia" w:ascii="宋体" w:hAnsi="宋体" w:eastAsia="宋体"/>
                <w:color w:val="000000" w:themeColor="text1"/>
                <w:sz w:val="24"/>
                <w:szCs w:val="24"/>
              </w:rPr>
              <w:t>根据项目实际情况， “三同时”落实情况见下表。</w:t>
            </w:r>
          </w:p>
          <w:p>
            <w:pPr>
              <w:spacing w:after="0" w:line="360" w:lineRule="auto"/>
              <w:jc w:val="center"/>
              <w:rPr>
                <w:rFonts w:ascii="宋体" w:hAnsi="宋体" w:eastAsia="宋体"/>
                <w:color w:val="000000" w:themeColor="text1"/>
                <w:sz w:val="24"/>
                <w:szCs w:val="24"/>
              </w:rPr>
            </w:pPr>
            <w:r>
              <w:rPr>
                <w:rFonts w:hint="eastAsia" w:ascii="宋体" w:hAnsi="宋体" w:eastAsia="宋体"/>
                <w:color w:val="000000" w:themeColor="text1"/>
                <w:sz w:val="24"/>
                <w:szCs w:val="24"/>
              </w:rPr>
              <w:t>表3-4 环评三同时落实情况对照表</w:t>
            </w:r>
          </w:p>
          <w:tbl>
            <w:tblPr>
              <w:tblStyle w:val="23"/>
              <w:tblW w:w="825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167"/>
              <w:gridCol w:w="1841"/>
              <w:gridCol w:w="3156"/>
              <w:gridCol w:w="13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9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项目</w:t>
                  </w:r>
                </w:p>
              </w:tc>
              <w:tc>
                <w:tcPr>
                  <w:tcW w:w="11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治理对象</w:t>
                  </w:r>
                </w:p>
              </w:tc>
              <w:tc>
                <w:tcPr>
                  <w:tcW w:w="184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科研设计要求</w:t>
                  </w:r>
                </w:p>
              </w:tc>
              <w:tc>
                <w:tcPr>
                  <w:tcW w:w="315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实际建设情况</w:t>
                  </w:r>
                </w:p>
              </w:tc>
              <w:tc>
                <w:tcPr>
                  <w:tcW w:w="13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落实情况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69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废水</w:t>
                  </w:r>
                </w:p>
              </w:tc>
              <w:tc>
                <w:tcPr>
                  <w:tcW w:w="11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废水</w:t>
                  </w:r>
                </w:p>
              </w:tc>
              <w:tc>
                <w:tcPr>
                  <w:tcW w:w="184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无生产废水外排、无新增生活废水</w:t>
                  </w:r>
                </w:p>
              </w:tc>
              <w:tc>
                <w:tcPr>
                  <w:tcW w:w="315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rPr>
                    <w:t>项目为</w:t>
                  </w:r>
                  <w:r>
                    <w:rPr>
                      <w:rFonts w:hint="eastAsia" w:ascii="宋体" w:hAnsi="宋体" w:eastAsia="宋体" w:cs="宋体"/>
                      <w:color w:val="000000" w:themeColor="text1"/>
                      <w:sz w:val="21"/>
                      <w:szCs w:val="21"/>
                      <w:lang w:val="en-US" w:eastAsia="zh-CN"/>
                    </w:rPr>
                    <w:t>焦场封闭项目</w:t>
                  </w:r>
                  <w:r>
                    <w:rPr>
                      <w:rFonts w:hint="eastAsia" w:ascii="宋体" w:hAnsi="宋体" w:eastAsia="宋体" w:cs="宋体"/>
                      <w:color w:val="000000" w:themeColor="text1"/>
                      <w:sz w:val="21"/>
                      <w:szCs w:val="21"/>
                    </w:rPr>
                    <w:t>，无新增废水产生及排放</w:t>
                  </w:r>
                  <w:r>
                    <w:rPr>
                      <w:rFonts w:hint="eastAsia" w:ascii="宋体" w:hAnsi="宋体" w:eastAsia="宋体" w:cs="宋体"/>
                      <w:color w:val="000000" w:themeColor="text1"/>
                      <w:sz w:val="21"/>
                      <w:szCs w:val="21"/>
                      <w:lang w:eastAsia="zh-CN"/>
                    </w:rPr>
                    <w:t>，</w:t>
                  </w:r>
                  <w:r>
                    <w:rPr>
                      <w:rFonts w:hint="eastAsia" w:ascii="宋体" w:hAnsi="宋体" w:eastAsia="宋体" w:cs="宋体"/>
                      <w:color w:val="000000" w:themeColor="text1"/>
                      <w:sz w:val="21"/>
                      <w:szCs w:val="21"/>
                      <w:lang w:val="en-US" w:eastAsia="zh-CN"/>
                    </w:rPr>
                    <w:t>焦棚内抑尘洒水自然损耗</w:t>
                  </w:r>
                </w:p>
              </w:tc>
              <w:tc>
                <w:tcPr>
                  <w:tcW w:w="139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做到了环保处理设施同生产设施、同时设计、同时施工、同时投产使用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4" w:hRule="atLeast"/>
                <w:jc w:val="center"/>
              </w:trPr>
              <w:tc>
                <w:tcPr>
                  <w:tcW w:w="69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废气</w:t>
                  </w:r>
                </w:p>
              </w:tc>
              <w:tc>
                <w:tcPr>
                  <w:tcW w:w="11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粉尘废气</w:t>
                  </w:r>
                </w:p>
              </w:tc>
              <w:tc>
                <w:tcPr>
                  <w:tcW w:w="184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Times New Roman" w:hAnsi="Times New Roman" w:eastAsia="宋体" w:cs="Times New Roman"/>
                      <w:color w:val="000000" w:themeColor="text1"/>
                      <w:sz w:val="21"/>
                      <w:szCs w:val="21"/>
                      <w:lang w:val="en-US" w:eastAsia="zh-CN"/>
                    </w:rPr>
                    <w:t>穹顶网架结构将焦场封闭</w:t>
                  </w:r>
                </w:p>
              </w:tc>
              <w:tc>
                <w:tcPr>
                  <w:tcW w:w="315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穹顶网架结构将焦场封闭，减少堆场运输、装卸过程粉尘逸散；焦棚内配备必要的雾炮进行抑尘工作</w:t>
                  </w:r>
                </w:p>
              </w:tc>
              <w:tc>
                <w:tcPr>
                  <w:tcW w:w="13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69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固废</w:t>
                  </w:r>
                </w:p>
              </w:tc>
              <w:tc>
                <w:tcPr>
                  <w:tcW w:w="11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r>
                    <w:rPr>
                      <w:rFonts w:hint="eastAsia" w:ascii="宋体" w:hAnsi="宋体" w:eastAsia="宋体" w:cs="宋体"/>
                      <w:color w:val="000000" w:themeColor="text1"/>
                      <w:sz w:val="21"/>
                      <w:szCs w:val="21"/>
                    </w:rPr>
                    <w:t>固体废物</w:t>
                  </w:r>
                </w:p>
              </w:tc>
              <w:tc>
                <w:tcPr>
                  <w:tcW w:w="184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00" w:themeColor="text1"/>
                      <w:sz w:val="21"/>
                      <w:szCs w:val="21"/>
                      <w:lang w:eastAsia="zh-CN"/>
                    </w:rPr>
                  </w:pPr>
                  <w:r>
                    <w:rPr>
                      <w:rFonts w:hint="eastAsia" w:ascii="宋体" w:hAnsi="宋体" w:eastAsia="宋体" w:cs="宋体"/>
                      <w:color w:val="000000" w:themeColor="text1"/>
                      <w:sz w:val="21"/>
                      <w:szCs w:val="21"/>
                    </w:rPr>
                    <w:t>固废主要为</w:t>
                  </w:r>
                  <w:r>
                    <w:rPr>
                      <w:rFonts w:hint="eastAsia" w:ascii="宋体" w:hAnsi="宋体" w:eastAsia="宋体" w:cs="宋体"/>
                      <w:color w:val="000000" w:themeColor="text1"/>
                      <w:sz w:val="21"/>
                      <w:szCs w:val="21"/>
                      <w:lang w:val="en-US" w:eastAsia="zh-CN"/>
                    </w:rPr>
                    <w:t>生活垃圾</w:t>
                  </w:r>
                </w:p>
              </w:tc>
              <w:tc>
                <w:tcPr>
                  <w:tcW w:w="315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宋体" w:hAnsi="宋体" w:eastAsia="宋体" w:cs="宋体"/>
                      <w:color w:val="000000" w:themeColor="text1"/>
                      <w:sz w:val="21"/>
                      <w:szCs w:val="21"/>
                      <w:lang w:val="en-US" w:eastAsia="zh-CN"/>
                    </w:rPr>
                  </w:pPr>
                  <w:r>
                    <w:rPr>
                      <w:rFonts w:hint="eastAsia" w:ascii="宋体" w:hAnsi="宋体" w:eastAsia="宋体" w:cs="宋体"/>
                      <w:color w:val="000000" w:themeColor="text1"/>
                      <w:sz w:val="21"/>
                      <w:szCs w:val="21"/>
                      <w:lang w:val="en-US" w:eastAsia="zh-CN"/>
                    </w:rPr>
                    <w:t>项目产生生活垃圾由环卫部门定期清运，本项目人员均为原有人员，无新增生活垃圾。</w:t>
                  </w:r>
                </w:p>
              </w:tc>
              <w:tc>
                <w:tcPr>
                  <w:tcW w:w="139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宋体" w:hAnsi="宋体" w:eastAsia="宋体" w:cs="宋体"/>
                      <w:color w:val="000000" w:themeColor="text1"/>
                      <w:sz w:val="21"/>
                      <w:szCs w:val="21"/>
                    </w:rPr>
                  </w:pPr>
                </w:p>
              </w:tc>
            </w:tr>
          </w:tbl>
          <w:p>
            <w:pPr>
              <w:spacing w:after="0" w:line="360" w:lineRule="auto"/>
              <w:jc w:val="center"/>
              <w:rPr>
                <w:rFonts w:eastAsia="仿宋_GB2312"/>
                <w:color w:val="FF0000"/>
                <w:sz w:val="24"/>
                <w:szCs w:val="24"/>
              </w:rPr>
            </w:pPr>
          </w:p>
        </w:tc>
      </w:tr>
    </w:tbl>
    <w:p>
      <w:pPr>
        <w:pStyle w:val="8"/>
        <w:rPr>
          <w:color w:val="FF0000"/>
        </w:rPr>
      </w:pPr>
      <w:bookmarkStart w:id="14" w:name="_Toc4009312"/>
    </w:p>
    <w:p>
      <w:pPr>
        <w:pStyle w:val="8"/>
        <w:rPr>
          <w:color w:val="000000" w:themeColor="text1"/>
        </w:rPr>
      </w:pPr>
      <w:r>
        <w:rPr>
          <w:color w:val="000000" w:themeColor="text1"/>
        </w:rPr>
        <w:t>表</w:t>
      </w:r>
      <w:r>
        <w:rPr>
          <w:rFonts w:hint="eastAsia"/>
          <w:color w:val="000000" w:themeColor="text1"/>
        </w:rPr>
        <w:t>四、环境影响</w:t>
      </w:r>
      <w:r>
        <w:rPr>
          <w:rFonts w:hint="eastAsia"/>
          <w:color w:val="000000" w:themeColor="text1"/>
          <w:lang w:eastAsia="zh-CN"/>
        </w:rPr>
        <w:t>登记</w:t>
      </w:r>
      <w:r>
        <w:rPr>
          <w:rFonts w:hint="eastAsia"/>
          <w:color w:val="000000" w:themeColor="text1"/>
        </w:rPr>
        <w:t>表</w:t>
      </w:r>
      <w:r>
        <w:rPr>
          <w:rFonts w:hint="eastAsia"/>
          <w:color w:val="000000" w:themeColor="text1"/>
          <w:lang w:eastAsia="zh-CN"/>
        </w:rPr>
        <w:t>及可研报告</w:t>
      </w:r>
      <w:r>
        <w:rPr>
          <w:rFonts w:hint="eastAsia"/>
          <w:color w:val="000000" w:themeColor="text1"/>
        </w:rPr>
        <w:t>主要结论与建议</w:t>
      </w:r>
      <w:bookmarkEnd w:id="14"/>
    </w:p>
    <w:tbl>
      <w:tblPr>
        <w:tblStyle w:val="2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pPr>
              <w:pStyle w:val="9"/>
              <w:rPr>
                <w:color w:val="000000" w:themeColor="text1"/>
              </w:rPr>
            </w:pPr>
            <w:bookmarkStart w:id="15" w:name="_Toc4009313"/>
            <w:r>
              <w:rPr>
                <w:color w:val="000000" w:themeColor="text1"/>
              </w:rPr>
              <w:t>4.1主要结论和建议</w:t>
            </w:r>
            <w:bookmarkEnd w:id="15"/>
          </w:p>
          <w:p>
            <w:pPr>
              <w:pStyle w:val="9"/>
              <w:tabs>
                <w:tab w:val="left" w:pos="936"/>
              </w:tabs>
              <w:ind w:firstLine="480" w:firstLineChars="200"/>
              <w:rPr>
                <w:rFonts w:hint="eastAsia" w:ascii="Times New Roman" w:hAnsi="Times New Roman" w:eastAsia="宋体" w:cs="Times New Roman"/>
                <w:b w:val="0"/>
                <w:bCs w:val="0"/>
                <w:color w:val="000000" w:themeColor="text1"/>
                <w:sz w:val="24"/>
                <w:szCs w:val="24"/>
                <w:shd w:val="clear" w:color="auto" w:fill="FFFFFF"/>
                <w:lang w:val="en-US" w:eastAsia="zh-CN" w:bidi="ar-SA"/>
              </w:rPr>
            </w:pPr>
            <w:bookmarkStart w:id="16" w:name="_Toc4009314"/>
            <w:r>
              <w:rPr>
                <w:rFonts w:hint="eastAsia" w:ascii="Times New Roman" w:hAnsi="Times New Roman" w:eastAsia="宋体" w:cs="Times New Roman"/>
                <w:b w:val="0"/>
                <w:bCs w:val="0"/>
                <w:color w:val="000000" w:themeColor="text1"/>
                <w:sz w:val="24"/>
                <w:szCs w:val="24"/>
                <w:shd w:val="clear" w:color="auto" w:fill="FFFFFF"/>
                <w:lang w:val="en-US" w:eastAsia="zh-CN" w:bidi="ar-SA"/>
              </w:rPr>
              <w:t>项目环境影响登记表及可行性研究报告中提出的结论及建议如下摘录：</w:t>
            </w:r>
          </w:p>
          <w:p>
            <w:pPr>
              <w:pStyle w:val="9"/>
              <w:tabs>
                <w:tab w:val="left" w:pos="936"/>
              </w:tabs>
              <w:rPr>
                <w:color w:val="000000" w:themeColor="text1"/>
              </w:rPr>
            </w:pPr>
            <w:r>
              <w:rPr>
                <w:color w:val="000000" w:themeColor="text1"/>
              </w:rPr>
              <w:t>4.1.1结论</w:t>
            </w:r>
          </w:p>
          <w:p>
            <w:pPr>
              <w:keepNext w:val="0"/>
              <w:keepLines w:val="0"/>
              <w:pageBreakBefore w:val="0"/>
              <w:kinsoku/>
              <w:wordWrap/>
              <w:overflowPunct/>
              <w:topLinePunct w:val="0"/>
              <w:autoSpaceDE/>
              <w:autoSpaceDN/>
              <w:bidi w:val="0"/>
              <w:spacing w:after="0" w:line="360" w:lineRule="auto"/>
              <w:ind w:firstLine="484" w:firstLineChars="202"/>
              <w:textAlignment w:val="auto"/>
              <w:rPr>
                <w:rFonts w:hint="eastAsia" w:ascii="Times New Roman" w:hAnsi="Times New Roman" w:eastAsia="宋体" w:cs="Times New Roman"/>
                <w:color w:val="000000" w:themeColor="text1"/>
                <w:sz w:val="24"/>
                <w:szCs w:val="24"/>
                <w:shd w:val="clear" w:color="auto" w:fill="FFFFFF"/>
                <w:lang w:val="en-US" w:eastAsia="zh-CN"/>
              </w:rPr>
            </w:pPr>
            <w:r>
              <w:rPr>
                <w:rFonts w:hint="eastAsia" w:ascii="Times New Roman" w:hAnsi="Times New Roman" w:eastAsia="宋体" w:cs="Times New Roman"/>
                <w:color w:val="000000" w:themeColor="text1"/>
                <w:sz w:val="24"/>
                <w:szCs w:val="24"/>
                <w:shd w:val="clear" w:color="auto" w:fill="FFFFFF"/>
                <w:lang w:val="en-US" w:eastAsia="zh-CN"/>
              </w:rPr>
              <w:t>潍焦集团薛城能源有限公司焦场改造工程符合国家环境保护标准要求，降低颗粒物排放，改善厂区周边环境，缓解当地环境压力。</w:t>
            </w:r>
          </w:p>
          <w:p>
            <w:pPr>
              <w:pStyle w:val="2"/>
              <w:keepNext w:val="0"/>
              <w:keepLines w:val="0"/>
              <w:pageBreakBefore w:val="0"/>
              <w:kinsoku/>
              <w:wordWrap/>
              <w:overflowPunct/>
              <w:topLinePunct w:val="0"/>
              <w:autoSpaceDE/>
              <w:autoSpaceDN/>
              <w:bidi w:val="0"/>
              <w:spacing w:after="0" w:line="360" w:lineRule="auto"/>
              <w:ind w:left="0" w:leftChars="0" w:firstLine="480" w:firstLineChars="200"/>
              <w:textAlignment w:val="auto"/>
              <w:rPr>
                <w:rFonts w:hint="eastAsia" w:cs="Times New Roman"/>
                <w:color w:val="000000" w:themeColor="text1"/>
                <w:sz w:val="24"/>
                <w:szCs w:val="24"/>
                <w:shd w:val="clear" w:color="auto" w:fill="FFFFFF"/>
                <w:lang w:val="en-US" w:eastAsia="zh-CN"/>
              </w:rPr>
            </w:pPr>
            <w:r>
              <w:rPr>
                <w:rFonts w:hint="eastAsia" w:cs="Times New Roman"/>
                <w:color w:val="000000" w:themeColor="text1"/>
                <w:sz w:val="24"/>
                <w:szCs w:val="24"/>
                <w:shd w:val="clear" w:color="auto" w:fill="FFFFFF"/>
                <w:lang w:val="en-US" w:eastAsia="zh-CN"/>
              </w:rPr>
              <w:t>本次改造最终推荐才用在原有露天焦场基础之上增加网架结构及彩钢板形成全封闭焦场方案，东西布置的条形焦场设置1座全封闭煤棚，宽度107米，长度327米，可储煤21.6万吨。</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000000" w:themeColor="text1"/>
                <w:kern w:val="2"/>
                <w:sz w:val="24"/>
                <w:szCs w:val="24"/>
                <w:shd w:val="clear" w:color="auto" w:fill="FFFFFF"/>
                <w:lang w:val="en-US" w:eastAsia="zh-CN" w:bidi="ar-SA"/>
              </w:rPr>
            </w:pPr>
            <w:r>
              <w:rPr>
                <w:rFonts w:hint="eastAsia" w:ascii="Times New Roman" w:hAnsi="Times New Roman" w:eastAsia="宋体" w:cs="Times New Roman"/>
                <w:color w:val="000000" w:themeColor="text1"/>
                <w:kern w:val="2"/>
                <w:sz w:val="24"/>
                <w:szCs w:val="24"/>
                <w:shd w:val="clear" w:color="auto" w:fill="FFFFFF"/>
                <w:lang w:val="en-US" w:eastAsia="zh-CN" w:bidi="ar-SA"/>
              </w:rPr>
              <w:t>工程实施后，即可满足环保对扬尘治理的要求，又可降低焦场存煤损耗，该项目在技术、经济上是可行的。</w:t>
            </w:r>
          </w:p>
          <w:p>
            <w:pPr>
              <w:keepNext w:val="0"/>
              <w:keepLines w:val="0"/>
              <w:pageBreakBefore w:val="0"/>
              <w:kinsoku/>
              <w:wordWrap/>
              <w:overflowPunct/>
              <w:topLinePunct w:val="0"/>
              <w:autoSpaceDE/>
              <w:autoSpaceDN/>
              <w:bidi w:val="0"/>
              <w:spacing w:after="0" w:line="360" w:lineRule="auto"/>
              <w:ind w:firstLine="484" w:firstLineChars="202"/>
              <w:textAlignment w:val="auto"/>
              <w:rPr>
                <w:rFonts w:hint="eastAsia" w:ascii="Times New Roman" w:hAnsi="Times New Roman" w:eastAsia="宋体" w:cs="Times New Roman"/>
                <w:color w:val="000000" w:themeColor="text1"/>
                <w:kern w:val="2"/>
                <w:sz w:val="24"/>
                <w:szCs w:val="24"/>
                <w:shd w:val="clear" w:color="auto" w:fill="FFFFFF"/>
                <w:lang w:val="en-US" w:eastAsia="zh-CN" w:bidi="ar-SA"/>
              </w:rPr>
            </w:pPr>
            <w:r>
              <w:rPr>
                <w:rFonts w:hint="eastAsia" w:ascii="Times New Roman" w:hAnsi="Times New Roman" w:eastAsia="宋体" w:cs="Times New Roman"/>
                <w:color w:val="000000" w:themeColor="text1"/>
                <w:kern w:val="2"/>
                <w:sz w:val="24"/>
                <w:szCs w:val="24"/>
                <w:shd w:val="clear" w:color="auto" w:fill="FFFFFF"/>
                <w:lang w:val="en-US" w:eastAsia="zh-CN" w:bidi="ar-SA"/>
              </w:rPr>
              <w:t>综上所述，本项目的建设是必要和可行的，经济效益和社会效益明显。</w:t>
            </w:r>
          </w:p>
          <w:p>
            <w:pPr>
              <w:pStyle w:val="9"/>
              <w:tabs>
                <w:tab w:val="left" w:pos="936"/>
              </w:tabs>
              <w:rPr>
                <w:rFonts w:ascii="Times New Roman" w:hAnsi="Times New Roman" w:eastAsia="宋体" w:cs="Times New Roman"/>
                <w:color w:val="000000" w:themeColor="text1"/>
                <w:szCs w:val="24"/>
              </w:rPr>
            </w:pPr>
            <w:bookmarkStart w:id="17" w:name="_Toc416550394"/>
            <w:bookmarkStart w:id="18" w:name="_Toc416377543"/>
            <w:bookmarkStart w:id="19" w:name="_Toc5917"/>
            <w:bookmarkStart w:id="20" w:name="_Toc520375625"/>
            <w:bookmarkStart w:id="21" w:name="_Toc522543006"/>
            <w:bookmarkStart w:id="22" w:name="_Toc416427271"/>
            <w:bookmarkStart w:id="23" w:name="_Toc504127994"/>
            <w:bookmarkStart w:id="24" w:name="_Toc492643781"/>
            <w:r>
              <w:rPr>
                <w:rFonts w:ascii="Times New Roman" w:hAnsi="Times New Roman" w:eastAsia="宋体" w:cs="Times New Roman"/>
                <w:color w:val="000000" w:themeColor="text1"/>
                <w:szCs w:val="24"/>
              </w:rPr>
              <w:t>4.1.2 建议</w:t>
            </w:r>
            <w:bookmarkEnd w:id="17"/>
            <w:bookmarkEnd w:id="18"/>
            <w:bookmarkEnd w:id="19"/>
            <w:bookmarkEnd w:id="20"/>
            <w:bookmarkEnd w:id="21"/>
            <w:bookmarkEnd w:id="22"/>
            <w:bookmarkEnd w:id="23"/>
            <w:bookmarkEnd w:id="24"/>
          </w:p>
          <w:p>
            <w:pPr>
              <w:spacing w:after="0" w:line="360" w:lineRule="auto"/>
              <w:ind w:firstLine="360" w:firstLineChars="150"/>
              <w:rPr>
                <w:rFonts w:hint="default" w:ascii="Times New Roman" w:hAnsi="Times New Roman" w:eastAsia="宋体" w:cs="Times New Roman"/>
                <w:color w:val="000000" w:themeColor="text1"/>
                <w:sz w:val="24"/>
                <w:szCs w:val="24"/>
                <w:lang w:val="en-US"/>
              </w:rPr>
            </w:pPr>
            <w:r>
              <w:rPr>
                <w:rFonts w:ascii="Times New Roman" w:hAnsi="Times New Roman" w:eastAsia="宋体" w:cs="Times New Roman"/>
                <w:color w:val="000000" w:themeColor="text1"/>
                <w:sz w:val="24"/>
                <w:szCs w:val="24"/>
              </w:rPr>
              <w:t>（1）</w:t>
            </w:r>
            <w:r>
              <w:rPr>
                <w:rFonts w:hint="eastAsia" w:ascii="Times New Roman" w:hAnsi="Times New Roman" w:eastAsia="宋体" w:cs="Times New Roman"/>
                <w:color w:val="000000" w:themeColor="text1"/>
                <w:sz w:val="24"/>
                <w:szCs w:val="24"/>
                <w:lang w:val="en-US" w:eastAsia="zh-CN"/>
              </w:rPr>
              <w:t>为使项目能够顺利实施，建设单位应合理组织与安排项目建设的时序，抓紧图纸的设计、审查、审批及工程招标和资金到位等各方面工作的协调落实。</w:t>
            </w:r>
          </w:p>
          <w:p>
            <w:pPr>
              <w:spacing w:after="0" w:line="360" w:lineRule="auto"/>
              <w:ind w:firstLine="360" w:firstLineChars="15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w:t>
            </w:r>
            <w:r>
              <w:rPr>
                <w:rFonts w:hint="eastAsia" w:ascii="Times New Roman" w:hAnsi="Times New Roman" w:eastAsia="宋体" w:cs="Times New Roman"/>
                <w:color w:val="000000" w:themeColor="text1"/>
                <w:sz w:val="24"/>
                <w:szCs w:val="24"/>
                <w:lang w:val="en-US" w:eastAsia="zh-CN"/>
              </w:rPr>
              <w:t>相关的供水、供电、通讯等设施须配套完善，建议一次性做好配套综合设计、预留及预埋工作，避免重复开挖、重复建设，节约建设投资</w:t>
            </w:r>
            <w:r>
              <w:rPr>
                <w:rFonts w:ascii="Times New Roman" w:hAnsi="Times New Roman" w:eastAsia="宋体" w:cs="Times New Roman"/>
                <w:color w:val="000000" w:themeColor="text1"/>
                <w:sz w:val="24"/>
                <w:szCs w:val="24"/>
              </w:rPr>
              <w:t>。</w:t>
            </w:r>
          </w:p>
          <w:p>
            <w:pPr>
              <w:spacing w:after="0" w:line="360" w:lineRule="auto"/>
              <w:ind w:firstLine="360" w:firstLineChars="15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（3）</w:t>
            </w:r>
            <w:r>
              <w:rPr>
                <w:rFonts w:hint="eastAsia" w:ascii="Times New Roman" w:hAnsi="Times New Roman" w:eastAsia="宋体" w:cs="Times New Roman"/>
                <w:color w:val="000000" w:themeColor="text1"/>
                <w:sz w:val="24"/>
                <w:szCs w:val="24"/>
                <w:lang w:val="en-US" w:eastAsia="zh-CN"/>
              </w:rPr>
              <w:t>为提高建设资金使用效益，建设单位应成立专项资金管理小组，资金使用严格按照企业管理办法执行，政府有关部门和项目主管部门要进一步加强监管和检查，加强财务管理工作，建议上级给予资金支持早日完成该项目建设</w:t>
            </w:r>
            <w:r>
              <w:rPr>
                <w:rFonts w:ascii="Times New Roman" w:hAnsi="Times New Roman" w:eastAsia="宋体" w:cs="Times New Roman"/>
                <w:color w:val="000000" w:themeColor="text1"/>
                <w:sz w:val="24"/>
                <w:szCs w:val="24"/>
              </w:rPr>
              <w:t>。</w:t>
            </w:r>
          </w:p>
          <w:p>
            <w:pPr>
              <w:spacing w:after="0" w:line="360" w:lineRule="auto"/>
              <w:ind w:firstLine="360" w:firstLineChars="15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（4）</w:t>
            </w:r>
            <w:r>
              <w:rPr>
                <w:rFonts w:hint="eastAsia" w:ascii="Times New Roman" w:hAnsi="Times New Roman" w:eastAsia="宋体" w:cs="Times New Roman"/>
                <w:color w:val="000000" w:themeColor="text1"/>
                <w:sz w:val="24"/>
                <w:szCs w:val="24"/>
                <w:lang w:val="en-US" w:eastAsia="zh-CN"/>
              </w:rPr>
              <w:t>本项目建设方案合理可行建成后的效益理想</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并且符合国家发展政策，建议有关部门积极促成本项目早日建成。</w:t>
            </w:r>
          </w:p>
          <w:p>
            <w:pPr>
              <w:pStyle w:val="9"/>
              <w:rPr>
                <w:color w:val="000000" w:themeColor="text1"/>
              </w:rPr>
            </w:pPr>
            <w:r>
              <w:rPr>
                <w:color w:val="000000" w:themeColor="text1"/>
              </w:rPr>
              <w:t>4.2</w:t>
            </w:r>
            <w:r>
              <w:rPr>
                <w:rFonts w:hint="eastAsia"/>
                <w:color w:val="000000" w:themeColor="text1"/>
              </w:rPr>
              <w:t>登记表</w:t>
            </w:r>
            <w:bookmarkEnd w:id="16"/>
          </w:p>
          <w:p>
            <w:pPr>
              <w:spacing w:after="0" w:line="360" w:lineRule="auto"/>
              <w:ind w:firstLine="480" w:firstLineChars="20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20</w:t>
            </w:r>
            <w:r>
              <w:rPr>
                <w:rFonts w:hint="eastAsia" w:ascii="Times New Roman" w:hAnsi="Times New Roman" w:eastAsia="宋体" w:cs="Times New Roman"/>
                <w:color w:val="000000" w:themeColor="text1"/>
                <w:sz w:val="24"/>
                <w:szCs w:val="24"/>
              </w:rPr>
              <w:t>2</w:t>
            </w:r>
            <w:r>
              <w:rPr>
                <w:rFonts w:hint="eastAsia" w:ascii="Times New Roman" w:hAnsi="Times New Roman" w:eastAsia="宋体" w:cs="Times New Roman"/>
                <w:color w:val="000000" w:themeColor="text1"/>
                <w:sz w:val="24"/>
                <w:szCs w:val="24"/>
                <w:lang w:val="en-US" w:eastAsia="zh-CN"/>
              </w:rPr>
              <w:t>0</w:t>
            </w:r>
            <w:r>
              <w:rPr>
                <w:rFonts w:ascii="Times New Roman" w:hAnsi="Times New Roman" w:eastAsia="宋体" w:cs="Times New Roman"/>
                <w:color w:val="000000" w:themeColor="text1"/>
                <w:sz w:val="24"/>
                <w:szCs w:val="24"/>
              </w:rPr>
              <w:t>年</w:t>
            </w:r>
            <w:r>
              <w:rPr>
                <w:rFonts w:hint="eastAsia" w:ascii="Times New Roman" w:hAnsi="Times New Roman" w:eastAsia="宋体" w:cs="Times New Roman"/>
                <w:color w:val="000000" w:themeColor="text1"/>
                <w:sz w:val="24"/>
                <w:szCs w:val="24"/>
              </w:rPr>
              <w:t>8</w:t>
            </w:r>
            <w:r>
              <w:rPr>
                <w:rFonts w:ascii="Times New Roman" w:hAnsi="Times New Roman" w:eastAsia="宋体" w:cs="Times New Roman"/>
                <w:color w:val="000000" w:themeColor="text1"/>
                <w:sz w:val="24"/>
                <w:szCs w:val="24"/>
              </w:rPr>
              <w:t>月公司编制了该项目环境影响登记表，环评登记表落实情况见表4-1</w:t>
            </w:r>
            <w:r>
              <w:rPr>
                <w:rFonts w:hint="eastAsia" w:ascii="Times New Roman" w:hAnsi="Times New Roman" w:eastAsia="宋体" w:cs="Times New Roman"/>
                <w:color w:val="000000" w:themeColor="text1"/>
                <w:sz w:val="24"/>
                <w:szCs w:val="24"/>
              </w:rPr>
              <w:t>。</w:t>
            </w:r>
          </w:p>
          <w:p>
            <w:pPr>
              <w:spacing w:after="0"/>
              <w:jc w:val="center"/>
              <w:rPr>
                <w:rFonts w:hint="eastAsia" w:ascii="黑体" w:hAnsi="黑体" w:eastAsia="黑体" w:cs="黑体"/>
                <w:color w:val="000000" w:themeColor="text1"/>
                <w:sz w:val="24"/>
                <w:szCs w:val="24"/>
              </w:rPr>
            </w:pPr>
            <w:r>
              <w:rPr>
                <w:rFonts w:hint="eastAsia" w:ascii="黑体" w:hAnsi="黑体" w:eastAsia="黑体" w:cs="黑体"/>
                <w:color w:val="000000" w:themeColor="text1"/>
                <w:sz w:val="24"/>
                <w:szCs w:val="24"/>
              </w:rPr>
              <w:t>表4-1环评批复落实情况对照表</w:t>
            </w:r>
          </w:p>
          <w:tbl>
            <w:tblPr>
              <w:tblStyle w:val="22"/>
              <w:tblW w:w="87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8"/>
              <w:gridCol w:w="3671"/>
              <w:gridCol w:w="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358" w:type="dxa"/>
                  <w:vAlign w:val="center"/>
                </w:tcPr>
                <w:p>
                  <w:pPr>
                    <w:spacing w:after="0" w:line="360" w:lineRule="auto"/>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审批意见</w:t>
                  </w:r>
                </w:p>
              </w:tc>
              <w:tc>
                <w:tcPr>
                  <w:tcW w:w="3671" w:type="dxa"/>
                  <w:vAlign w:val="center"/>
                </w:tcPr>
                <w:p>
                  <w:pPr>
                    <w:spacing w:after="0" w:line="360" w:lineRule="auto"/>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落实情况</w:t>
                  </w:r>
                </w:p>
              </w:tc>
              <w:tc>
                <w:tcPr>
                  <w:tcW w:w="698" w:type="dxa"/>
                  <w:vAlign w:val="center"/>
                </w:tcPr>
                <w:p>
                  <w:pPr>
                    <w:spacing w:after="0" w:line="360" w:lineRule="auto"/>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358" w:type="dxa"/>
                  <w:vAlign w:val="center"/>
                </w:tcPr>
                <w:p>
                  <w:pPr>
                    <w:pStyle w:val="2"/>
                    <w:spacing w:after="0" w:line="360" w:lineRule="auto"/>
                    <w:ind w:left="0" w:leftChars="0"/>
                    <w:rPr>
                      <w:color w:val="000000" w:themeColor="text1"/>
                      <w:szCs w:val="21"/>
                    </w:rPr>
                  </w:pPr>
                  <w:r>
                    <w:rPr>
                      <w:color w:val="000000" w:themeColor="text1"/>
                      <w:szCs w:val="21"/>
                    </w:rPr>
                    <w:t>建设规模和内容：</w:t>
                  </w:r>
                </w:p>
                <w:p>
                  <w:pPr>
                    <w:pStyle w:val="2"/>
                    <w:spacing w:after="0" w:line="360" w:lineRule="auto"/>
                    <w:ind w:left="0" w:leftChars="0"/>
                    <w:rPr>
                      <w:rFonts w:hint="default" w:cs="Times New Roman"/>
                      <w:color w:val="000000" w:themeColor="text1"/>
                      <w:sz w:val="21"/>
                      <w:szCs w:val="21"/>
                      <w:lang w:val="en-US" w:eastAsia="zh-CN"/>
                    </w:rPr>
                  </w:pPr>
                  <w:r>
                    <w:rPr>
                      <w:rFonts w:hint="eastAsia" w:cs="Times New Roman"/>
                      <w:color w:val="000000" w:themeColor="text1"/>
                      <w:sz w:val="21"/>
                      <w:szCs w:val="21"/>
                      <w:lang w:eastAsia="zh-CN"/>
                    </w:rPr>
                    <w:t>新建穹顶网架结构将焦场封闭，封闭尺寸</w:t>
                  </w:r>
                  <w:r>
                    <w:rPr>
                      <w:rFonts w:hint="eastAsia" w:cs="Times New Roman"/>
                      <w:color w:val="000000" w:themeColor="text1"/>
                      <w:sz w:val="21"/>
                      <w:szCs w:val="21"/>
                      <w:lang w:val="en-US" w:eastAsia="zh-CN"/>
                    </w:rPr>
                    <w:t>327*107米，封闭面积约36000平方米，主要解决大风天气焦场的扬尘问题，提升焦场的环境与空气质量。</w:t>
                  </w:r>
                </w:p>
                <w:p>
                  <w:pPr>
                    <w:pStyle w:val="2"/>
                    <w:spacing w:after="0" w:line="360" w:lineRule="auto"/>
                    <w:ind w:left="0" w:leftChars="0"/>
                    <w:rPr>
                      <w:color w:val="000000" w:themeColor="text1"/>
                      <w:szCs w:val="21"/>
                    </w:rPr>
                  </w:pPr>
                </w:p>
              </w:tc>
              <w:tc>
                <w:tcPr>
                  <w:tcW w:w="3671" w:type="dxa"/>
                  <w:vAlign w:val="center"/>
                </w:tcPr>
                <w:p>
                  <w:pPr>
                    <w:spacing w:after="0" w:line="360" w:lineRule="auto"/>
                    <w:ind w:firstLine="420" w:firstLineChars="20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eastAsia="zh-CN"/>
                    </w:rPr>
                    <w:t>项目新建穹顶网架结构将焦场封闭，封闭尺寸为</w:t>
                  </w:r>
                  <w:r>
                    <w:rPr>
                      <w:rFonts w:hint="eastAsia" w:ascii="Times New Roman" w:hAnsi="Times New Roman" w:eastAsia="宋体" w:cs="Times New Roman"/>
                      <w:color w:val="000000" w:themeColor="text1"/>
                      <w:sz w:val="21"/>
                      <w:szCs w:val="21"/>
                      <w:lang w:val="en-US" w:eastAsia="zh-CN"/>
                    </w:rPr>
                    <w:t>327mi*107米，封闭面积为36000m</w:t>
                  </w:r>
                  <w:r>
                    <w:rPr>
                      <w:rFonts w:hint="eastAsia" w:ascii="Times New Roman" w:hAnsi="Times New Roman" w:eastAsia="宋体" w:cs="Times New Roman"/>
                      <w:color w:val="000000" w:themeColor="text1"/>
                      <w:sz w:val="21"/>
                      <w:szCs w:val="21"/>
                      <w:vertAlign w:val="superscript"/>
                      <w:lang w:val="en-US" w:eastAsia="zh-CN"/>
                    </w:rPr>
                    <w:t>2</w:t>
                  </w:r>
                  <w:r>
                    <w:rPr>
                      <w:rFonts w:hint="eastAsia" w:ascii="Times New Roman" w:hAnsi="Times New Roman" w:eastAsia="宋体" w:cs="Times New Roman"/>
                      <w:color w:val="000000" w:themeColor="text1"/>
                      <w:sz w:val="21"/>
                      <w:szCs w:val="21"/>
                      <w:vertAlign w:val="baseline"/>
                      <w:lang w:val="en-US" w:eastAsia="zh-CN"/>
                    </w:rPr>
                    <w:t>，能够较好的减少焦场在运输、装卸过程中产生的扬尘逸散问题，特别是大风天气，扬尘对周变影响。</w:t>
                  </w:r>
                </w:p>
              </w:tc>
              <w:tc>
                <w:tcPr>
                  <w:tcW w:w="698" w:type="dxa"/>
                  <w:vAlign w:val="center"/>
                </w:tcPr>
                <w:p>
                  <w:pPr>
                    <w:spacing w:after="0" w:line="360" w:lineRule="auto"/>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358" w:type="dxa"/>
                  <w:vAlign w:val="center"/>
                </w:tcPr>
                <w:p>
                  <w:pPr>
                    <w:pStyle w:val="2"/>
                    <w:spacing w:after="0" w:line="360" w:lineRule="auto"/>
                    <w:ind w:left="0" w:leftChars="0"/>
                    <w:rPr>
                      <w:color w:val="000000" w:themeColor="text1"/>
                      <w:szCs w:val="21"/>
                    </w:rPr>
                  </w:pPr>
                  <w:r>
                    <w:rPr>
                      <w:color w:val="000000" w:themeColor="text1"/>
                      <w:szCs w:val="21"/>
                    </w:rPr>
                    <w:t>主要环境影响：</w:t>
                  </w:r>
                </w:p>
                <w:p>
                  <w:pPr>
                    <w:pStyle w:val="2"/>
                    <w:spacing w:after="0" w:line="360" w:lineRule="auto"/>
                    <w:ind w:left="0" w:leftChars="0"/>
                    <w:rPr>
                      <w:color w:val="000000" w:themeColor="text1"/>
                      <w:szCs w:val="21"/>
                    </w:rPr>
                  </w:pPr>
                  <w:r>
                    <w:rPr>
                      <w:color w:val="000000" w:themeColor="text1"/>
                      <w:szCs w:val="21"/>
                    </w:rPr>
                    <w:t>产生的环境影响主要为废气</w:t>
                  </w:r>
                  <w:r>
                    <w:rPr>
                      <w:rFonts w:hint="eastAsia"/>
                      <w:color w:val="000000" w:themeColor="text1"/>
                      <w:szCs w:val="21"/>
                      <w:lang w:eastAsia="zh-CN"/>
                    </w:rPr>
                    <w:t>和</w:t>
                  </w:r>
                  <w:r>
                    <w:rPr>
                      <w:color w:val="000000" w:themeColor="text1"/>
                      <w:szCs w:val="21"/>
                    </w:rPr>
                    <w:t>固体废物。</w:t>
                  </w:r>
                </w:p>
                <w:p>
                  <w:pPr>
                    <w:pStyle w:val="2"/>
                    <w:spacing w:after="0" w:line="360" w:lineRule="auto"/>
                    <w:ind w:left="0" w:leftChars="0"/>
                    <w:rPr>
                      <w:color w:val="000000" w:themeColor="text1"/>
                      <w:szCs w:val="21"/>
                    </w:rPr>
                  </w:pPr>
                  <w:r>
                    <w:rPr>
                      <w:color w:val="000000" w:themeColor="text1"/>
                      <w:szCs w:val="21"/>
                    </w:rPr>
                    <w:t>采取的环保措施：</w:t>
                  </w:r>
                </w:p>
                <w:p>
                  <w:pPr>
                    <w:pStyle w:val="2"/>
                    <w:spacing w:after="0" w:line="360" w:lineRule="auto"/>
                    <w:ind w:left="0" w:leftChars="0"/>
                    <w:rPr>
                      <w:rFonts w:hint="eastAsia" w:eastAsia="宋体"/>
                      <w:color w:val="000000" w:themeColor="text1"/>
                      <w:szCs w:val="21"/>
                      <w:lang w:eastAsia="zh-CN"/>
                    </w:rPr>
                  </w:pPr>
                  <w:r>
                    <w:rPr>
                      <w:rFonts w:hint="eastAsia"/>
                      <w:color w:val="000000" w:themeColor="text1"/>
                      <w:szCs w:val="21"/>
                      <w:lang w:eastAsia="zh-CN"/>
                    </w:rPr>
                    <w:t>废气：喷洒抑尘装置除去大棚内的焦尘；固废：生活垃圾由环卫部门定期清运。</w:t>
                  </w:r>
                </w:p>
              </w:tc>
              <w:tc>
                <w:tcPr>
                  <w:tcW w:w="3671" w:type="dxa"/>
                  <w:vAlign w:val="center"/>
                </w:tcPr>
                <w:p>
                  <w:pPr>
                    <w:spacing w:after="0" w:line="360" w:lineRule="auto"/>
                    <w:ind w:firstLine="420" w:firstLineChars="200"/>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eastAsia="zh-CN"/>
                    </w:rPr>
                    <w:t>项目运营期间，严格控制焦场内车辆的运输、装卸，配备必要的雾炮等抑尘措施。项目产生固废为生活垃圾，人员均为原有人员无新增，生活垃圾由环卫部门定期清运。</w:t>
                  </w:r>
                </w:p>
              </w:tc>
              <w:tc>
                <w:tcPr>
                  <w:tcW w:w="698" w:type="dxa"/>
                  <w:vAlign w:val="center"/>
                </w:tcPr>
                <w:p>
                  <w:pPr>
                    <w:spacing w:after="0" w:line="360" w:lineRule="auto"/>
                    <w:jc w:val="center"/>
                    <w:rPr>
                      <w:rFonts w:ascii="Times New Roman" w:hAnsi="Times New Roman" w:eastAsia="宋体" w:cs="Times New Roman"/>
                      <w:color w:val="000000" w:themeColor="text1"/>
                      <w:sz w:val="21"/>
                      <w:szCs w:val="21"/>
                      <w:lang w:val="en-US" w:eastAsia="zh-CN" w:bidi="ar-SA"/>
                    </w:rPr>
                  </w:pPr>
                  <w:r>
                    <w:rPr>
                      <w:rFonts w:ascii="Times New Roman" w:hAnsi="Times New Roman" w:eastAsia="宋体" w:cs="Times New Roman"/>
                      <w:color w:val="000000" w:themeColor="text1"/>
                      <w:sz w:val="21"/>
                      <w:szCs w:val="21"/>
                    </w:rPr>
                    <w:t>已落实</w:t>
                  </w:r>
                </w:p>
              </w:tc>
            </w:tr>
          </w:tbl>
          <w:p>
            <w:pPr>
              <w:pStyle w:val="2"/>
              <w:ind w:left="440"/>
              <w:rPr>
                <w:color w:val="FF0000"/>
              </w:rPr>
            </w:pPr>
          </w:p>
        </w:tc>
      </w:tr>
    </w:tbl>
    <w:p>
      <w:pPr>
        <w:spacing w:line="360" w:lineRule="auto"/>
        <w:rPr>
          <w:rFonts w:eastAsia="仿宋_GB2312"/>
          <w:color w:val="FF0000"/>
          <w:sz w:val="21"/>
          <w:szCs w:val="21"/>
        </w:rPr>
        <w:sectPr>
          <w:pgSz w:w="11906" w:h="16838"/>
          <w:pgMar w:top="1440" w:right="1803" w:bottom="1440" w:left="1803" w:header="708" w:footer="709" w:gutter="0"/>
          <w:pgBorders>
            <w:top w:val="none" w:sz="0" w:space="0"/>
            <w:left w:val="none" w:sz="0" w:space="0"/>
            <w:bottom w:val="none" w:sz="0" w:space="0"/>
            <w:right w:val="none" w:sz="0" w:space="0"/>
          </w:pgBorders>
          <w:cols w:space="0" w:num="1"/>
          <w:rtlGutter w:val="0"/>
          <w:docGrid w:linePitch="360" w:charSpace="0"/>
        </w:sectPr>
      </w:pPr>
    </w:p>
    <w:p>
      <w:pPr>
        <w:pStyle w:val="8"/>
        <w:rPr>
          <w:color w:val="FF0000"/>
        </w:rPr>
      </w:pPr>
      <w:bookmarkStart w:id="25" w:name="_Toc4009315"/>
      <w:r>
        <w:rPr>
          <w:color w:val="000000" w:themeColor="text1"/>
        </w:rPr>
        <w:t>表</w:t>
      </w:r>
      <w:r>
        <w:rPr>
          <w:rFonts w:hint="eastAsia"/>
          <w:color w:val="000000" w:themeColor="text1"/>
        </w:rPr>
        <w:t>五、质量保证与质量控制</w:t>
      </w:r>
      <w:bookmarkEnd w:id="25"/>
    </w:p>
    <w:tbl>
      <w:tblPr>
        <w:tblStyle w:val="22"/>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6" w:hRule="atLeast"/>
          <w:jc w:val="center"/>
        </w:trPr>
        <w:tc>
          <w:tcPr>
            <w:tcW w:w="8984" w:type="dxa"/>
          </w:tcPr>
          <w:p>
            <w:pPr>
              <w:pStyle w:val="9"/>
              <w:keepNext/>
              <w:keepLines/>
              <w:pageBreakBefore w:val="0"/>
              <w:widowControl/>
              <w:kinsoku/>
              <w:wordWrap/>
              <w:overflowPunct/>
              <w:topLinePunct w:val="0"/>
              <w:autoSpaceDE/>
              <w:autoSpaceDN/>
              <w:bidi w:val="0"/>
              <w:adjustRightInd w:val="0"/>
              <w:snapToGrid w:val="0"/>
              <w:ind w:firstLine="480" w:firstLineChars="200"/>
              <w:textAlignment w:val="auto"/>
              <w:rPr>
                <w:rFonts w:ascii="Times New Roman" w:hAnsi="Times New Roman" w:eastAsia="宋体" w:cs="Times New Roman"/>
                <w:color w:val="000000" w:themeColor="text1"/>
              </w:rPr>
            </w:pPr>
            <w:bookmarkStart w:id="26" w:name="_Toc531424842"/>
            <w:bookmarkStart w:id="27" w:name="_Toc4009316"/>
            <w:bookmarkStart w:id="28" w:name="_Toc533626106"/>
            <w:r>
              <w:rPr>
                <w:rFonts w:hint="eastAsia" w:ascii="宋体" w:hAnsi="宋体" w:eastAsia="宋体" w:cs="Times New Roman"/>
                <w:b w:val="0"/>
                <w:color w:val="000000" w:themeColor="text1"/>
              </w:rPr>
              <w:t>本项目验收检测工作委托</w:t>
            </w:r>
            <w:r>
              <w:rPr>
                <w:rFonts w:hint="eastAsia" w:asciiTheme="minorEastAsia" w:hAnsiTheme="minorEastAsia" w:eastAsiaTheme="minorEastAsia"/>
                <w:b w:val="0"/>
                <w:snapToGrid w:val="0"/>
                <w:color w:val="000000" w:themeColor="text1"/>
                <w:szCs w:val="24"/>
                <w:lang w:eastAsia="zh-CN"/>
              </w:rPr>
              <w:t>山东宜维检测有限公司</w:t>
            </w:r>
            <w:r>
              <w:rPr>
                <w:rFonts w:hint="eastAsia" w:ascii="宋体" w:hAnsi="宋体" w:eastAsia="宋体"/>
                <w:b w:val="0"/>
                <w:color w:val="000000" w:themeColor="text1"/>
                <w:szCs w:val="24"/>
              </w:rPr>
              <w:t>开展，该公司已取得实验室资质认定证书，具备验收检测资质，由该公司负责验收检测质量保证与质量控制工作。</w:t>
            </w:r>
            <w:bookmarkEnd w:id="26"/>
            <w:bookmarkEnd w:id="27"/>
            <w:bookmarkEnd w:id="28"/>
          </w:p>
          <w:p>
            <w:pPr>
              <w:pStyle w:val="9"/>
              <w:rPr>
                <w:rFonts w:ascii="Times New Roman" w:hAnsi="Times New Roman" w:eastAsia="宋体" w:cs="Times New Roman"/>
                <w:color w:val="000000" w:themeColor="text1"/>
              </w:rPr>
            </w:pPr>
            <w:bookmarkStart w:id="29" w:name="_Toc4009317"/>
            <w:r>
              <w:rPr>
                <w:rFonts w:ascii="Times New Roman" w:hAnsi="Times New Roman" w:eastAsia="宋体" w:cs="Times New Roman"/>
                <w:color w:val="000000" w:themeColor="text1"/>
              </w:rPr>
              <w:t>5.1</w:t>
            </w:r>
            <w:r>
              <w:rPr>
                <w:rFonts w:ascii="Times New Roman" w:hAnsi="宋体" w:eastAsia="宋体" w:cs="Times New Roman"/>
                <w:color w:val="000000" w:themeColor="text1"/>
              </w:rPr>
              <w:t>监测分析方法和设备</w:t>
            </w:r>
            <w:bookmarkEnd w:id="29"/>
          </w:p>
          <w:p>
            <w:pPr>
              <w:spacing w:after="0" w:line="360" w:lineRule="auto"/>
              <w:ind w:firstLine="480" w:firstLineChars="200"/>
              <w:rPr>
                <w:rFonts w:ascii="Times New Roman" w:hAnsi="宋体" w:eastAsia="宋体" w:cs="Times New Roman"/>
                <w:color w:val="000000" w:themeColor="text1"/>
                <w:sz w:val="24"/>
                <w:szCs w:val="24"/>
              </w:rPr>
            </w:pPr>
            <w:r>
              <w:rPr>
                <w:rFonts w:ascii="Times New Roman" w:hAnsi="宋体" w:eastAsia="宋体" w:cs="Times New Roman"/>
                <w:color w:val="000000" w:themeColor="text1"/>
                <w:sz w:val="24"/>
                <w:szCs w:val="24"/>
              </w:rPr>
              <w:t>各项</w:t>
            </w:r>
            <w:r>
              <w:rPr>
                <w:rFonts w:hint="eastAsia" w:ascii="Times New Roman" w:hAnsi="宋体" w:eastAsia="宋体" w:cs="Times New Roman"/>
                <w:color w:val="000000" w:themeColor="text1"/>
                <w:sz w:val="24"/>
                <w:szCs w:val="24"/>
              </w:rPr>
              <w:t>目</w:t>
            </w:r>
            <w:r>
              <w:rPr>
                <w:rFonts w:ascii="Times New Roman" w:hAnsi="宋体" w:eastAsia="宋体" w:cs="Times New Roman"/>
                <w:color w:val="000000" w:themeColor="text1"/>
                <w:sz w:val="24"/>
                <w:szCs w:val="24"/>
              </w:rPr>
              <w:t>检测分析方法采用国家有关部门颁布的标准</w:t>
            </w:r>
            <w:r>
              <w:rPr>
                <w:rFonts w:hint="eastAsia" w:ascii="Times New Roman" w:hAnsi="宋体" w:eastAsia="宋体" w:cs="Times New Roman"/>
                <w:color w:val="000000" w:themeColor="text1"/>
                <w:sz w:val="24"/>
                <w:szCs w:val="24"/>
              </w:rPr>
              <w:t>(</w:t>
            </w:r>
            <w:r>
              <w:rPr>
                <w:rFonts w:ascii="Times New Roman" w:hAnsi="宋体" w:eastAsia="宋体" w:cs="Times New Roman"/>
                <w:color w:val="000000" w:themeColor="text1"/>
                <w:sz w:val="24"/>
                <w:szCs w:val="24"/>
              </w:rPr>
              <w:t>或推荐</w:t>
            </w:r>
            <w:r>
              <w:rPr>
                <w:rFonts w:hint="eastAsia" w:ascii="Times New Roman" w:hAnsi="宋体" w:eastAsia="宋体" w:cs="Times New Roman"/>
                <w:color w:val="000000" w:themeColor="text1"/>
                <w:sz w:val="24"/>
                <w:szCs w:val="24"/>
              </w:rPr>
              <w:t>)</w:t>
            </w:r>
            <w:r>
              <w:rPr>
                <w:rFonts w:ascii="Times New Roman" w:hAnsi="宋体" w:eastAsia="宋体" w:cs="Times New Roman"/>
                <w:color w:val="000000" w:themeColor="text1"/>
                <w:sz w:val="24"/>
                <w:szCs w:val="24"/>
              </w:rPr>
              <w:t>分析方法</w:t>
            </w:r>
            <w:r>
              <w:rPr>
                <w:rFonts w:hint="eastAsia" w:ascii="Times New Roman" w:hAnsi="宋体" w:eastAsia="宋体" w:cs="Times New Roman"/>
                <w:color w:val="000000" w:themeColor="text1"/>
                <w:sz w:val="24"/>
                <w:szCs w:val="24"/>
              </w:rPr>
              <w:t>，</w:t>
            </w:r>
            <w:r>
              <w:rPr>
                <w:rFonts w:ascii="Times New Roman" w:hAnsi="宋体" w:eastAsia="宋体" w:cs="Times New Roman"/>
                <w:color w:val="000000" w:themeColor="text1"/>
                <w:sz w:val="24"/>
                <w:szCs w:val="24"/>
              </w:rPr>
              <w:t>所使用的仪器均定期检定，并保证测试时处在</w:t>
            </w:r>
            <w:r>
              <w:rPr>
                <w:rFonts w:hint="eastAsia" w:ascii="Times New Roman" w:hAnsi="宋体" w:eastAsia="宋体" w:cs="Times New Roman"/>
                <w:color w:val="000000" w:themeColor="text1"/>
                <w:sz w:val="24"/>
                <w:szCs w:val="24"/>
              </w:rPr>
              <w:t>溯源</w:t>
            </w:r>
            <w:r>
              <w:rPr>
                <w:rFonts w:ascii="Times New Roman" w:hAnsi="宋体" w:eastAsia="宋体" w:cs="Times New Roman"/>
                <w:color w:val="000000" w:themeColor="text1"/>
                <w:sz w:val="24"/>
                <w:szCs w:val="24"/>
              </w:rPr>
              <w:t>有效期之内</w:t>
            </w:r>
            <w:r>
              <w:rPr>
                <w:rFonts w:hint="eastAsia" w:ascii="Times New Roman" w:hAnsi="宋体" w:eastAsia="宋体" w:cs="Times New Roman"/>
                <w:color w:val="000000" w:themeColor="text1"/>
                <w:sz w:val="24"/>
                <w:szCs w:val="24"/>
              </w:rPr>
              <w:t>。本项目监测分析方法和设备见表5-1和表5-2。</w:t>
            </w:r>
          </w:p>
          <w:p>
            <w:pPr>
              <w:spacing w:after="0"/>
              <w:jc w:val="center"/>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表5-1  监测分析方法一览表</w:t>
            </w:r>
          </w:p>
          <w:tbl>
            <w:tblPr>
              <w:tblStyle w:val="22"/>
              <w:tblW w:w="876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344"/>
              <w:gridCol w:w="4880"/>
              <w:gridCol w:w="16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22" w:type="dxa"/>
                  <w:tcMar>
                    <w:left w:w="28" w:type="dxa"/>
                    <w:right w:w="28" w:type="dxa"/>
                  </w:tcMar>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类别</w:t>
                  </w:r>
                </w:p>
              </w:tc>
              <w:tc>
                <w:tcPr>
                  <w:tcW w:w="1344" w:type="dxa"/>
                  <w:tcMar>
                    <w:left w:w="28" w:type="dxa"/>
                    <w:right w:w="28" w:type="dxa"/>
                  </w:tcMar>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监测项目</w:t>
                  </w:r>
                </w:p>
              </w:tc>
              <w:tc>
                <w:tcPr>
                  <w:tcW w:w="4880" w:type="dxa"/>
                  <w:tcMar>
                    <w:left w:w="28" w:type="dxa"/>
                    <w:right w:w="28" w:type="dxa"/>
                  </w:tcMar>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分析方法及依据</w:t>
                  </w:r>
                </w:p>
              </w:tc>
              <w:tc>
                <w:tcPr>
                  <w:tcW w:w="1622" w:type="dxa"/>
                  <w:tcMar>
                    <w:left w:w="28" w:type="dxa"/>
                    <w:right w:w="28" w:type="dxa"/>
                  </w:tcMar>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检出限</w:t>
                  </w:r>
                </w:p>
                <w:p>
                  <w:pPr>
                    <w:spacing w:after="0"/>
                    <w:jc w:val="center"/>
                    <w:rPr>
                      <w:rFonts w:ascii="Times New Roman" w:hAnsi="Times New Roman" w:eastAsia="宋体" w:cs="Times New Roman"/>
                      <w:color w:val="000000" w:themeColor="text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27" w:hRule="atLeast"/>
                <w:jc w:val="center"/>
              </w:trPr>
              <w:tc>
                <w:tcPr>
                  <w:tcW w:w="922" w:type="dxa"/>
                  <w:vAlign w:val="center"/>
                </w:tcPr>
                <w:p>
                  <w:pPr>
                    <w:spacing w:after="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厂界</w:t>
                  </w:r>
                </w:p>
              </w:tc>
              <w:tc>
                <w:tcPr>
                  <w:tcW w:w="1344" w:type="dxa"/>
                  <w:vAlign w:val="center"/>
                </w:tcPr>
                <w:p>
                  <w:pPr>
                    <w:keepNext w:val="0"/>
                    <w:keepLines w:val="0"/>
                    <w:pageBreakBefore w:val="0"/>
                    <w:widowControl/>
                    <w:tabs>
                      <w:tab w:val="left" w:pos="9795"/>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颗粒物</w:t>
                  </w:r>
                </w:p>
              </w:tc>
              <w:tc>
                <w:tcPr>
                  <w:tcW w:w="4880" w:type="dxa"/>
                  <w:vAlign w:val="center"/>
                </w:tcPr>
                <w:p>
                  <w:pPr>
                    <w:keepNext w:val="0"/>
                    <w:keepLines w:val="0"/>
                    <w:pageBreakBefore w:val="0"/>
                    <w:widowControl/>
                    <w:tabs>
                      <w:tab w:val="left" w:pos="9795"/>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GB/T 15432-1995环境空气 总悬浮颗粒物的测定 重量法</w:t>
                  </w:r>
                </w:p>
              </w:tc>
              <w:tc>
                <w:tcPr>
                  <w:tcW w:w="1622"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0.001mg/m</w:t>
                  </w:r>
                  <w:r>
                    <w:rPr>
                      <w:rFonts w:hint="default" w:ascii="Times New Roman" w:hAnsi="Times New Roman" w:eastAsia="宋体" w:cs="Times New Roman"/>
                      <w:color w:val="000000" w:themeColor="text1"/>
                      <w:sz w:val="21"/>
                      <w:szCs w:val="21"/>
                      <w:vertAlign w:val="superscript"/>
                    </w:rPr>
                    <w:t>3</w:t>
                  </w:r>
                </w:p>
              </w:tc>
            </w:tr>
          </w:tbl>
          <w:p>
            <w:pPr>
              <w:spacing w:beforeLines="100" w:after="0" w:line="360" w:lineRule="auto"/>
              <w:jc w:val="center"/>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表5-2 检测仪器设备一览表</w:t>
            </w:r>
          </w:p>
          <w:tbl>
            <w:tblPr>
              <w:tblStyle w:val="22"/>
              <w:tblW w:w="91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3135"/>
              <w:gridCol w:w="1575"/>
              <w:gridCol w:w="1155"/>
              <w:gridCol w:w="23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51" w:hRule="atLeast"/>
                <w:jc w:val="center"/>
              </w:trPr>
              <w:tc>
                <w:tcPr>
                  <w:tcW w:w="909" w:type="dxa"/>
                  <w:tcMar>
                    <w:left w:w="28" w:type="dxa"/>
                    <w:right w:w="28" w:type="dxa"/>
                  </w:tcMar>
                  <w:vAlign w:val="center"/>
                </w:tcPr>
                <w:p>
                  <w:pPr>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sz w:val="21"/>
                      <w:szCs w:val="21"/>
                    </w:rPr>
                    <w:t>序号</w:t>
                  </w:r>
                </w:p>
              </w:tc>
              <w:tc>
                <w:tcPr>
                  <w:tcW w:w="3135" w:type="dxa"/>
                  <w:tcMar>
                    <w:left w:w="28" w:type="dxa"/>
                    <w:right w:w="28" w:type="dxa"/>
                  </w:tcMar>
                  <w:vAlign w:val="center"/>
                </w:tcPr>
                <w:p>
                  <w:pPr>
                    <w:adjustRightInd/>
                    <w:snapToGrid/>
                    <w:spacing w:after="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设备名称</w:t>
                  </w:r>
                </w:p>
              </w:tc>
              <w:tc>
                <w:tcPr>
                  <w:tcW w:w="1575" w:type="dxa"/>
                  <w:vAlign w:val="center"/>
                </w:tcPr>
                <w:p>
                  <w:pPr>
                    <w:adjustRightInd/>
                    <w:snapToGrid/>
                    <w:spacing w:after="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kern w:val="2"/>
                      <w:sz w:val="21"/>
                      <w:szCs w:val="21"/>
                    </w:rPr>
                    <w:t>设备编号</w:t>
                  </w:r>
                </w:p>
              </w:tc>
              <w:tc>
                <w:tcPr>
                  <w:tcW w:w="1155" w:type="dxa"/>
                  <w:tcMar>
                    <w:left w:w="28" w:type="dxa"/>
                    <w:right w:w="28" w:type="dxa"/>
                  </w:tcMar>
                  <w:vAlign w:val="center"/>
                </w:tcPr>
                <w:p>
                  <w:pPr>
                    <w:adjustRightInd/>
                    <w:snapToGrid/>
                    <w:spacing w:after="0"/>
                    <w:jc w:val="center"/>
                    <w:rPr>
                      <w:rFonts w:ascii="Times New Roman" w:hAnsi="Times New Roman" w:eastAsia="宋体" w:cs="Times New Roman"/>
                      <w:color w:val="000000" w:themeColor="text1"/>
                      <w:kern w:val="2"/>
                      <w:sz w:val="21"/>
                      <w:szCs w:val="21"/>
                    </w:rPr>
                  </w:pPr>
                  <w:r>
                    <w:rPr>
                      <w:rFonts w:ascii="Times New Roman" w:hAnsi="Times New Roman" w:eastAsia="宋体" w:cs="Times New Roman"/>
                      <w:color w:val="000000" w:themeColor="text1"/>
                      <w:sz w:val="21"/>
                      <w:szCs w:val="21"/>
                    </w:rPr>
                    <w:t>溯源方式</w:t>
                  </w:r>
                </w:p>
              </w:tc>
              <w:tc>
                <w:tcPr>
                  <w:tcW w:w="2348" w:type="dxa"/>
                  <w:tcMar>
                    <w:left w:w="28" w:type="dxa"/>
                    <w:right w:w="28" w:type="dxa"/>
                  </w:tcMar>
                  <w:vAlign w:val="center"/>
                </w:tcPr>
                <w:p>
                  <w:pPr>
                    <w:adjustRightInd/>
                    <w:snapToGrid/>
                    <w:spacing w:after="0"/>
                    <w:jc w:val="center"/>
                    <w:rPr>
                      <w:rFonts w:ascii="Times New Roman" w:hAnsi="Times New Roman" w:eastAsia="宋体" w:cs="Times New Roman"/>
                      <w:color w:val="000000" w:themeColor="text1"/>
                      <w:sz w:val="21"/>
                      <w:szCs w:val="21"/>
                    </w:rPr>
                  </w:pPr>
                  <w:r>
                    <w:rPr>
                      <w:rFonts w:ascii="Times New Roman" w:hAnsi="Times New Roman" w:eastAsia="宋体" w:cs="Times New Roman"/>
                      <w:color w:val="000000" w:themeColor="text1"/>
                      <w:kern w:val="2"/>
                      <w:sz w:val="21"/>
                      <w:szCs w:val="21"/>
                    </w:rPr>
                    <w:t>溯源有效期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9" w:type="dxa"/>
                  <w:vAlign w:val="center"/>
                </w:tcPr>
                <w:p>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w:t>
                  </w:r>
                </w:p>
              </w:tc>
              <w:tc>
                <w:tcPr>
                  <w:tcW w:w="313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环境空气颗粒物综合采样器</w:t>
                  </w: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A1611HJ292</w:t>
                  </w:r>
                </w:p>
              </w:tc>
              <w:tc>
                <w:tcPr>
                  <w:tcW w:w="1155"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校准</w:t>
                  </w:r>
                </w:p>
              </w:tc>
              <w:tc>
                <w:tcPr>
                  <w:tcW w:w="2348"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2022.3.1-2023.2.28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9" w:type="dxa"/>
                  <w:vAlign w:val="center"/>
                </w:tcPr>
                <w:p>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2</w:t>
                  </w:r>
                </w:p>
              </w:tc>
              <w:tc>
                <w:tcPr>
                  <w:tcW w:w="313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空盒气压表</w:t>
                  </w: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A1611HJ145</w:t>
                  </w:r>
                </w:p>
              </w:tc>
              <w:tc>
                <w:tcPr>
                  <w:tcW w:w="1155"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校准</w:t>
                  </w:r>
                </w:p>
              </w:tc>
              <w:tc>
                <w:tcPr>
                  <w:tcW w:w="2348"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2021.11.10-2022.11.9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9" w:type="dxa"/>
                  <w:vAlign w:val="center"/>
                </w:tcPr>
                <w:p>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3</w:t>
                  </w:r>
                </w:p>
              </w:tc>
              <w:tc>
                <w:tcPr>
                  <w:tcW w:w="3135" w:type="dxa"/>
                  <w:vAlign w:val="center"/>
                </w:tcPr>
                <w:p>
                  <w:pPr>
                    <w:keepNext w:val="0"/>
                    <w:keepLines w:val="0"/>
                    <w:pageBreakBefore w:val="0"/>
                    <w:kinsoku/>
                    <w:wordWrap/>
                    <w:overflowPunct/>
                    <w:autoSpaceDE/>
                    <w:autoSpaceDN/>
                    <w:bidi w:val="0"/>
                    <w:spacing w:after="0" w:line="240" w:lineRule="auto"/>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风向风速仪</w:t>
                  </w:r>
                </w:p>
              </w:tc>
              <w:tc>
                <w:tcPr>
                  <w:tcW w:w="1575" w:type="dxa"/>
                  <w:vAlign w:val="center"/>
                </w:tcPr>
                <w:p>
                  <w:pPr>
                    <w:keepNext w:val="0"/>
                    <w:keepLines w:val="0"/>
                    <w:pageBreakBefore w:val="0"/>
                    <w:shd w:val="clear" w:color="auto" w:fill="auto"/>
                    <w:kinsoku/>
                    <w:wordWrap/>
                    <w:overflowPunct/>
                    <w:autoSpaceDE/>
                    <w:autoSpaceDN/>
                    <w:bidi w:val="0"/>
                    <w:spacing w:after="0" w:line="240" w:lineRule="auto"/>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A1611HJ151</w:t>
                  </w:r>
                </w:p>
              </w:tc>
              <w:tc>
                <w:tcPr>
                  <w:tcW w:w="1155"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校准</w:t>
                  </w:r>
                </w:p>
              </w:tc>
              <w:tc>
                <w:tcPr>
                  <w:tcW w:w="2348"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2021.11.10-2022.11.9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9" w:type="dxa"/>
                  <w:vAlign w:val="center"/>
                </w:tcPr>
                <w:p>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cs="Times New Roman"/>
                      <w:color w:val="000000" w:themeColor="text1"/>
                      <w:sz w:val="21"/>
                      <w:szCs w:val="21"/>
                    </w:rPr>
                  </w:pPr>
                  <w:bookmarkStart w:id="30" w:name="_Toc4009318"/>
                  <w:r>
                    <w:rPr>
                      <w:rFonts w:hint="default" w:ascii="Times New Roman" w:hAnsi="Times New Roman" w:eastAsia="宋体" w:cs="Times New Roman"/>
                      <w:color w:val="000000" w:themeColor="text1"/>
                      <w:sz w:val="21"/>
                      <w:szCs w:val="21"/>
                      <w:lang w:val="en-US" w:eastAsia="zh-CN"/>
                    </w:rPr>
                    <w:t>4</w:t>
                  </w:r>
                </w:p>
              </w:tc>
              <w:tc>
                <w:tcPr>
                  <w:tcW w:w="3135" w:type="dxa"/>
                  <w:vAlign w:val="center"/>
                </w:tcPr>
                <w:p>
                  <w:pPr>
                    <w:keepNext w:val="0"/>
                    <w:keepLines w:val="0"/>
                    <w:pageBreakBefore w:val="0"/>
                    <w:kinsoku/>
                    <w:wordWrap/>
                    <w:overflowPunct/>
                    <w:autoSpaceDE/>
                    <w:autoSpaceDN/>
                    <w:bidi w:val="0"/>
                    <w:spacing w:after="0" w:line="240" w:lineRule="auto"/>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便携式数字温湿仪</w:t>
                  </w:r>
                </w:p>
              </w:tc>
              <w:tc>
                <w:tcPr>
                  <w:tcW w:w="1575" w:type="dxa"/>
                  <w:vAlign w:val="center"/>
                </w:tcPr>
                <w:p>
                  <w:pPr>
                    <w:keepNext w:val="0"/>
                    <w:keepLines w:val="0"/>
                    <w:pageBreakBefore w:val="0"/>
                    <w:kinsoku/>
                    <w:wordWrap/>
                    <w:overflowPunct/>
                    <w:autoSpaceDE/>
                    <w:autoSpaceDN/>
                    <w:bidi w:val="0"/>
                    <w:spacing w:after="0" w:line="240" w:lineRule="auto"/>
                    <w:jc w:val="center"/>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A1611HJ017</w:t>
                  </w:r>
                </w:p>
              </w:tc>
              <w:tc>
                <w:tcPr>
                  <w:tcW w:w="1155"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校准</w:t>
                  </w:r>
                </w:p>
              </w:tc>
              <w:tc>
                <w:tcPr>
                  <w:tcW w:w="2348"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2021.11.10-2022.11.9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9" w:type="dxa"/>
                  <w:vAlign w:val="center"/>
                </w:tcPr>
                <w:p>
                  <w:pPr>
                    <w:keepNext w:val="0"/>
                    <w:keepLines w:val="0"/>
                    <w:pageBreakBefore w:val="0"/>
                    <w:kinsoku/>
                    <w:wordWrap/>
                    <w:overflowPunct/>
                    <w:topLinePunct w:val="0"/>
                    <w:autoSpaceDE/>
                    <w:autoSpaceDN/>
                    <w:bidi w:val="0"/>
                    <w:spacing w:after="0" w:line="240" w:lineRule="auto"/>
                    <w:jc w:val="center"/>
                    <w:rPr>
                      <w:rFonts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5</w:t>
                  </w:r>
                </w:p>
              </w:tc>
              <w:tc>
                <w:tcPr>
                  <w:tcW w:w="313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万分之一天平</w:t>
                  </w:r>
                </w:p>
              </w:tc>
              <w:tc>
                <w:tcPr>
                  <w:tcW w:w="157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A1611SP023</w:t>
                  </w:r>
                </w:p>
              </w:tc>
              <w:tc>
                <w:tcPr>
                  <w:tcW w:w="1155"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检定</w:t>
                  </w:r>
                </w:p>
              </w:tc>
              <w:tc>
                <w:tcPr>
                  <w:tcW w:w="2348" w:type="dxa"/>
                  <w:vAlign w:val="center"/>
                </w:tcPr>
                <w:p>
                  <w:pPr>
                    <w:keepNext w:val="0"/>
                    <w:keepLines w:val="0"/>
                    <w:pageBreakBefore w:val="0"/>
                    <w:kinsoku/>
                    <w:wordWrap/>
                    <w:overflowPunct/>
                    <w:topLinePunct w:val="0"/>
                    <w:autoSpaceDE/>
                    <w:autoSpaceDN/>
                    <w:bidi w:val="0"/>
                    <w:spacing w:after="0" w:line="240" w:lineRule="auto"/>
                    <w:jc w:val="center"/>
                    <w:textAlignment w:val="auto"/>
                    <w:rPr>
                      <w:rFonts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2022.7.22-2023.7.21</w:t>
                  </w:r>
                </w:p>
              </w:tc>
            </w:tr>
          </w:tbl>
          <w:p>
            <w:pPr>
              <w:pStyle w:val="9"/>
              <w:rPr>
                <w:rFonts w:ascii="Times New Roman" w:hAnsi="Times New Roman" w:eastAsia="宋体" w:cs="Times New Roman"/>
                <w:color w:val="000000" w:themeColor="text1"/>
              </w:rPr>
            </w:pPr>
            <w:r>
              <w:rPr>
                <w:rFonts w:ascii="Times New Roman" w:hAnsi="Times New Roman" w:eastAsia="宋体" w:cs="Times New Roman"/>
                <w:color w:val="000000" w:themeColor="text1"/>
              </w:rPr>
              <w:t xml:space="preserve">5.2 </w:t>
            </w:r>
            <w:r>
              <w:rPr>
                <w:rFonts w:ascii="Times New Roman" w:hAnsi="宋体" w:eastAsia="宋体" w:cs="Times New Roman"/>
                <w:color w:val="000000" w:themeColor="text1"/>
              </w:rPr>
              <w:t>人员资质</w:t>
            </w:r>
            <w:bookmarkEnd w:id="30"/>
          </w:p>
          <w:p>
            <w:pPr>
              <w:spacing w:after="0" w:line="360" w:lineRule="auto"/>
              <w:ind w:firstLine="480" w:firstLineChars="200"/>
              <w:rPr>
                <w:rFonts w:ascii="Times New Roman" w:hAnsi="Times New Roman" w:eastAsia="宋体" w:cs="Times New Roman"/>
                <w:color w:val="000000" w:themeColor="text1"/>
                <w:sz w:val="24"/>
              </w:rPr>
            </w:pPr>
            <w:r>
              <w:rPr>
                <w:rFonts w:ascii="Times New Roman" w:hAnsi="宋体" w:eastAsia="宋体" w:cs="Times New Roman"/>
                <w:color w:val="000000" w:themeColor="text1"/>
                <w:sz w:val="24"/>
              </w:rPr>
              <w:t>参与本次验收监测的人员都具备了丰富的工作经验和专业技术能力，现场采样人员均经过培训持证上岗</w:t>
            </w:r>
            <w:r>
              <w:rPr>
                <w:rFonts w:hint="eastAsia" w:ascii="Times New Roman" w:hAnsi="宋体" w:eastAsia="宋体" w:cs="Times New Roman"/>
                <w:color w:val="000000" w:themeColor="text1"/>
                <w:sz w:val="24"/>
              </w:rPr>
              <w:t>。</w:t>
            </w:r>
          </w:p>
          <w:p>
            <w:pPr>
              <w:pStyle w:val="9"/>
              <w:rPr>
                <w:rFonts w:ascii="宋体"/>
                <w:color w:val="000000" w:themeColor="text1"/>
              </w:rPr>
            </w:pPr>
            <w:bookmarkStart w:id="31" w:name="_Toc4009319"/>
            <w:r>
              <w:rPr>
                <w:rFonts w:hAnsi="Times New Roman"/>
                <w:color w:val="000000" w:themeColor="text1"/>
              </w:rPr>
              <w:t>5.3</w:t>
            </w:r>
            <w:r>
              <w:rPr>
                <w:color w:val="000000" w:themeColor="text1"/>
              </w:rPr>
              <w:t>分析过程中的质量保证</w:t>
            </w:r>
            <w:r>
              <w:rPr>
                <w:rFonts w:ascii="宋体"/>
                <w:color w:val="000000" w:themeColor="text1"/>
              </w:rPr>
              <w:t>和质量控制</w:t>
            </w:r>
            <w:bookmarkEnd w:id="31"/>
          </w:p>
          <w:p>
            <w:pPr>
              <w:keepNext w:val="0"/>
              <w:keepLines w:val="0"/>
              <w:pageBreakBefore w:val="0"/>
              <w:kinsoku/>
              <w:wordWrap/>
              <w:overflowPunct/>
              <w:topLinePunct w:val="0"/>
              <w:autoSpaceDE/>
              <w:autoSpaceDN/>
              <w:bidi w:val="0"/>
              <w:spacing w:after="0" w:line="360" w:lineRule="auto"/>
              <w:ind w:firstLine="573"/>
              <w:textAlignment w:val="auto"/>
              <w:rPr>
                <w:rFonts w:ascii="Times New Roman" w:hAnsi="Times New Roman" w:eastAsia="宋体" w:cs="Times New Roman"/>
                <w:color w:val="000000" w:themeColor="text1"/>
                <w:sz w:val="24"/>
                <w:szCs w:val="24"/>
              </w:rPr>
            </w:pPr>
            <w:bookmarkStart w:id="32" w:name="_Toc4332"/>
            <w:bookmarkStart w:id="33" w:name="_Toc12837"/>
            <w:bookmarkStart w:id="34" w:name="_Toc511066428"/>
            <w:bookmarkStart w:id="35" w:name="_Toc16631"/>
            <w:bookmarkStart w:id="36" w:name="_Toc30943"/>
            <w:r>
              <w:rPr>
                <w:rFonts w:ascii="Times New Roman" w:hAnsi="宋体" w:eastAsia="宋体" w:cs="Times New Roman"/>
                <w:color w:val="000000" w:themeColor="text1"/>
                <w:sz w:val="24"/>
                <w:szCs w:val="24"/>
              </w:rPr>
              <w:t>为了确保本次废气监测数据具有代表性、可靠性和准确性，在监测过程中对全过程包括布点、采样、实验室分析、数据处理等各环节进行严格的质量控制。具体要求如下：</w:t>
            </w:r>
          </w:p>
          <w:p>
            <w:pPr>
              <w:keepNext w:val="0"/>
              <w:keepLines w:val="0"/>
              <w:pageBreakBefore w:val="0"/>
              <w:numPr>
                <w:ilvl w:val="0"/>
                <w:numId w:val="0"/>
              </w:numPr>
              <w:kinsoku/>
              <w:wordWrap/>
              <w:overflowPunct/>
              <w:topLinePunct w:val="0"/>
              <w:autoSpaceDE/>
              <w:autoSpaceDN/>
              <w:bidi w:val="0"/>
              <w:spacing w:after="0" w:line="360" w:lineRule="auto"/>
              <w:ind w:firstLine="480" w:firstLineChars="200"/>
              <w:textAlignment w:val="auto"/>
              <w:rPr>
                <w:rFonts w:hint="eastAsia" w:ascii="Times New Roman" w:hAnsi="宋体" w:eastAsia="宋体" w:cs="Times New Roman"/>
                <w:color w:val="000000" w:themeColor="text1"/>
                <w:sz w:val="24"/>
                <w:szCs w:val="24"/>
                <w:lang w:val="en-US" w:eastAsia="zh-CN"/>
              </w:rPr>
            </w:pPr>
            <w:r>
              <w:rPr>
                <w:rFonts w:hint="eastAsia" w:ascii="Times New Roman" w:hAnsi="宋体" w:eastAsia="宋体" w:cs="Times New Roman"/>
                <w:color w:val="000000" w:themeColor="text1"/>
                <w:sz w:val="24"/>
                <w:szCs w:val="24"/>
                <w:lang w:eastAsia="zh-CN"/>
              </w:rPr>
              <w:t>（</w:t>
            </w:r>
            <w:r>
              <w:rPr>
                <w:rFonts w:hint="eastAsia" w:ascii="Times New Roman" w:hAnsi="宋体" w:eastAsia="宋体" w:cs="Times New Roman"/>
                <w:color w:val="000000" w:themeColor="text1"/>
                <w:sz w:val="24"/>
                <w:szCs w:val="24"/>
                <w:lang w:val="en-US" w:eastAsia="zh-CN"/>
              </w:rPr>
              <w:t>1</w:t>
            </w:r>
            <w:r>
              <w:rPr>
                <w:rFonts w:hint="eastAsia" w:ascii="Times New Roman" w:hAnsi="宋体" w:eastAsia="宋体" w:cs="Times New Roman"/>
                <w:color w:val="000000" w:themeColor="text1"/>
                <w:sz w:val="24"/>
                <w:szCs w:val="24"/>
                <w:lang w:eastAsia="zh-CN"/>
              </w:rPr>
              <w:t>）</w:t>
            </w:r>
            <w:r>
              <w:rPr>
                <w:rFonts w:ascii="Times New Roman" w:hAnsi="宋体" w:eastAsia="宋体" w:cs="Times New Roman"/>
                <w:color w:val="000000" w:themeColor="text1"/>
                <w:sz w:val="24"/>
                <w:szCs w:val="24"/>
              </w:rPr>
              <w:t>废气监测质量保证按照国家《环境监测技术规范》、《固定源废气监测技术规范》和</w:t>
            </w:r>
            <w:r>
              <w:rPr>
                <w:rFonts w:hint="eastAsia" w:ascii="Times New Roman" w:hAnsi="宋体" w:eastAsia="宋体" w:cs="Times New Roman"/>
                <w:color w:val="000000" w:themeColor="text1"/>
                <w:sz w:val="24"/>
                <w:szCs w:val="24"/>
                <w:lang w:eastAsia="zh-CN"/>
              </w:rPr>
              <w:t>《固定污染源废气 低浓度颗粒物的测定 重量法》（HJ 836-2017）</w:t>
            </w:r>
            <w:r>
              <w:rPr>
                <w:rFonts w:ascii="Times New Roman" w:hAnsi="宋体" w:eastAsia="宋体" w:cs="Times New Roman"/>
                <w:color w:val="000000" w:themeColor="text1"/>
                <w:sz w:val="24"/>
                <w:szCs w:val="24"/>
              </w:rPr>
              <w:t>的要求与规定进行全过程质量控制。</w:t>
            </w:r>
            <w:r>
              <w:rPr>
                <w:rFonts w:hint="eastAsia" w:ascii="Times New Roman" w:hAnsi="宋体" w:eastAsia="宋体" w:cs="Times New Roman"/>
                <w:color w:val="000000" w:themeColor="text1"/>
                <w:sz w:val="24"/>
                <w:szCs w:val="24"/>
                <w:lang w:eastAsia="zh-CN"/>
              </w:rPr>
              <w:t>采样前对设备累计流量准确度进行校准，并按照</w:t>
            </w:r>
            <w:r>
              <w:rPr>
                <w:rFonts w:hint="eastAsia" w:ascii="Times New Roman" w:hAnsi="宋体" w:eastAsia="宋体" w:cs="Times New Roman"/>
                <w:color w:val="000000" w:themeColor="text1"/>
                <w:sz w:val="24"/>
                <w:szCs w:val="24"/>
                <w:lang w:val="en-US" w:eastAsia="zh-CN"/>
              </w:rPr>
              <w:t>GB/T 16157 检漏方要求进行现场检漏。</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宋体" w:eastAsia="宋体" w:cs="Times New Roman"/>
                <w:color w:val="000000" w:themeColor="text1"/>
                <w:kern w:val="0"/>
                <w:sz w:val="24"/>
                <w:szCs w:val="24"/>
                <w:lang w:val="en-US" w:eastAsia="zh-CN" w:bidi="ar-SA"/>
              </w:rPr>
            </w:pPr>
            <w:r>
              <w:rPr>
                <w:rFonts w:hint="eastAsia" w:ascii="Times New Roman" w:hAnsi="宋体" w:eastAsia="宋体" w:cs="Times New Roman"/>
                <w:color w:val="000000" w:themeColor="text1"/>
                <w:kern w:val="0"/>
                <w:sz w:val="24"/>
                <w:szCs w:val="24"/>
                <w:lang w:val="en-US" w:eastAsia="zh-CN" w:bidi="ar-SA"/>
              </w:rPr>
              <w:t>（2）采集全程序空白。采样过程中，采样嘴背对废气气流方向，采样管在烟道中放置时间和移动方式与实际采样相同。</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hint="eastAsia" w:ascii="Times New Roman" w:hAnsi="宋体" w:eastAsia="宋体" w:cs="Times New Roman"/>
                <w:color w:val="000000" w:themeColor="text1"/>
                <w:sz w:val="24"/>
                <w:szCs w:val="24"/>
                <w:lang w:val="en-US" w:eastAsia="zh-CN"/>
              </w:rPr>
            </w:pPr>
            <w:r>
              <w:rPr>
                <w:rFonts w:hint="eastAsia" w:ascii="Times New Roman" w:hAnsi="宋体" w:eastAsia="宋体" w:cs="Times New Roman"/>
                <w:color w:val="000000" w:themeColor="text1"/>
                <w:kern w:val="0"/>
                <w:sz w:val="24"/>
                <w:szCs w:val="24"/>
                <w:lang w:val="en-US" w:eastAsia="zh-CN" w:bidi="ar-SA"/>
              </w:rPr>
              <w:t>（3）样品应妥善</w:t>
            </w:r>
            <w:r>
              <w:rPr>
                <w:rFonts w:hint="eastAsia" w:ascii="Times New Roman" w:hAnsi="宋体" w:eastAsia="宋体" w:cs="Times New Roman"/>
                <w:color w:val="000000" w:themeColor="text1"/>
                <w:sz w:val="24"/>
                <w:szCs w:val="24"/>
                <w:lang w:val="en-US" w:eastAsia="zh-CN"/>
              </w:rPr>
              <w:t>保存，避免污染。结束采样后，取下采样头，用聚四氟乙烯材质堵塞套堵塞塞好采样嘴，将采样头放入防静电的盒或密封袋内，再放入样品箱。</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hint="eastAsia" w:ascii="Times New Roman" w:hAnsi="宋体" w:eastAsia="宋体" w:cs="Times New Roman"/>
                <w:color w:val="000000" w:themeColor="text1"/>
                <w:sz w:val="24"/>
                <w:szCs w:val="24"/>
                <w:lang w:val="en-US" w:eastAsia="zh-CN"/>
              </w:rPr>
            </w:pPr>
            <w:r>
              <w:rPr>
                <w:rFonts w:hint="eastAsia" w:ascii="Times New Roman" w:hAnsi="宋体" w:eastAsia="宋体" w:cs="Times New Roman"/>
                <w:color w:val="000000" w:themeColor="text1"/>
                <w:sz w:val="24"/>
                <w:szCs w:val="24"/>
                <w:lang w:val="en-US" w:eastAsia="zh-CN"/>
              </w:rPr>
              <w:t>（4）称量过程应按照HJ836要求进行质量控制。</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hint="eastAsia" w:ascii="Times New Roman" w:hAnsi="宋体" w:eastAsia="宋体" w:cs="Times New Roman"/>
                <w:color w:val="000000" w:themeColor="text1"/>
                <w:sz w:val="24"/>
                <w:szCs w:val="24"/>
                <w:lang w:val="en-US" w:eastAsia="zh-CN"/>
              </w:rPr>
            </w:pPr>
            <w:r>
              <w:rPr>
                <w:rFonts w:hint="eastAsia" w:ascii="Times New Roman" w:hAnsi="宋体" w:eastAsia="宋体" w:cs="Times New Roman"/>
                <w:color w:val="000000" w:themeColor="text1"/>
                <w:sz w:val="24"/>
                <w:szCs w:val="24"/>
                <w:lang w:val="en-US" w:eastAsia="zh-CN"/>
              </w:rPr>
              <w:t>a）采样前、采样后称重时，必须进行天平校准。</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hint="eastAsia" w:ascii="Times New Roman" w:hAnsi="宋体" w:eastAsia="宋体" w:cs="Times New Roman"/>
                <w:color w:val="000000" w:themeColor="text1"/>
                <w:sz w:val="24"/>
                <w:szCs w:val="24"/>
                <w:lang w:val="en-US" w:eastAsia="zh-CN"/>
              </w:rPr>
            </w:pPr>
            <w:r>
              <w:rPr>
                <w:rFonts w:hint="eastAsia" w:ascii="Times New Roman" w:hAnsi="宋体" w:eastAsia="宋体" w:cs="Times New Roman"/>
                <w:color w:val="000000" w:themeColor="text1"/>
                <w:sz w:val="24"/>
                <w:szCs w:val="24"/>
                <w:lang w:val="en-US" w:eastAsia="zh-CN"/>
              </w:rPr>
              <w:t>b）采样前、采样后平衡及称量时，应保证环境温度和环境湿度条件一致。应避免静电对称量造成的影响。</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hint="eastAsia" w:ascii="Times New Roman" w:hAnsi="宋体" w:eastAsia="宋体" w:cs="Times New Roman"/>
                <w:color w:val="000000" w:themeColor="text1"/>
                <w:sz w:val="24"/>
                <w:szCs w:val="24"/>
                <w:lang w:val="en-US" w:eastAsia="zh-CN"/>
              </w:rPr>
            </w:pPr>
            <w:r>
              <w:rPr>
                <w:rFonts w:hint="eastAsia" w:ascii="Times New Roman" w:hAnsi="宋体" w:eastAsia="宋体" w:cs="Times New Roman"/>
                <w:color w:val="000000" w:themeColor="text1"/>
                <w:sz w:val="24"/>
                <w:szCs w:val="24"/>
                <w:lang w:val="en-US" w:eastAsia="zh-CN"/>
              </w:rPr>
              <w:t>c）保证同一称量部件在采样前后称量为同一天平，并避免称量前后人员不同引起的误差。</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hint="eastAsia" w:ascii="Times New Roman" w:hAnsi="宋体" w:eastAsia="宋体" w:cs="Times New Roman"/>
                <w:color w:val="000000" w:themeColor="text1"/>
                <w:sz w:val="24"/>
                <w:szCs w:val="24"/>
                <w:lang w:val="en-US" w:eastAsia="zh-CN"/>
              </w:rPr>
            </w:pPr>
            <w:r>
              <w:rPr>
                <w:rFonts w:hint="eastAsia" w:ascii="Times New Roman" w:hAnsi="宋体" w:eastAsia="宋体" w:cs="Times New Roman"/>
                <w:color w:val="000000" w:themeColor="text1"/>
                <w:sz w:val="24"/>
                <w:szCs w:val="24"/>
                <w:lang w:val="en-US" w:eastAsia="zh-CN"/>
              </w:rPr>
              <w:t>d）采样前后，放置、安装、取出、标记、转移采样部件时应无粉尘、抗静电的一次性手套。</w:t>
            </w:r>
          </w:p>
          <w:p>
            <w:pPr>
              <w:pStyle w:val="2"/>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（5）采样时应按照HJ836要求进行质量控制。</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a）采样过程中，采样断面最大流速和最小流速比不应大于3:1；</w:t>
            </w:r>
          </w:p>
          <w:p>
            <w:pPr>
              <w:pStyle w:val="2"/>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b）现场应及时清理采样管，减少样品玷污；</w:t>
            </w:r>
          </w:p>
          <w:p>
            <w:pPr>
              <w:pStyle w:val="2"/>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c）样品采集时，应保证每个样品的增重不小于1mg，或采样体积不小于1m</w:t>
            </w:r>
            <w:r>
              <w:rPr>
                <w:rFonts w:hint="default" w:ascii="Times New Roman" w:hAnsi="Times New Roman" w:eastAsia="宋体" w:cs="Times New Roman"/>
                <w:color w:val="000000" w:themeColor="text1"/>
                <w:sz w:val="24"/>
                <w:szCs w:val="24"/>
                <w:vertAlign w:val="superscript"/>
                <w:lang w:val="en-US" w:eastAsia="zh-CN"/>
              </w:rPr>
              <w:t>3</w:t>
            </w:r>
            <w:r>
              <w:rPr>
                <w:rFonts w:hint="default" w:ascii="Times New Roman" w:hAnsi="Times New Roman" w:eastAsia="宋体" w:cs="Times New Roman"/>
                <w:color w:val="000000" w:themeColor="text1"/>
                <w:sz w:val="24"/>
                <w:szCs w:val="24"/>
                <w:lang w:val="en-US" w:eastAsia="zh-CN"/>
              </w:rPr>
              <w:t>；</w:t>
            </w:r>
          </w:p>
          <w:p>
            <w:pPr>
              <w:pStyle w:val="2"/>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sz w:val="24"/>
                <w:szCs w:val="24"/>
                <w:lang w:val="en-US" w:eastAsia="zh-CN"/>
              </w:rPr>
              <w:t>d）在现场条件允许的前提下，尽可能选取入口直径大的采样嘴。</w:t>
            </w:r>
          </w:p>
          <w:p>
            <w:pPr>
              <w:keepNext w:val="0"/>
              <w:keepLines w:val="0"/>
              <w:pageBreakBefore w:val="0"/>
              <w:kinsoku/>
              <w:wordWrap/>
              <w:overflowPunct/>
              <w:topLinePunct w:val="0"/>
              <w:autoSpaceDE/>
              <w:autoSpaceDN/>
              <w:bidi w:val="0"/>
              <w:spacing w:after="0" w:line="360" w:lineRule="auto"/>
              <w:ind w:firstLine="480" w:firstLineChars="200"/>
              <w:textAlignment w:val="auto"/>
              <w:rPr>
                <w:rFonts w:ascii="Times New Roman" w:hAnsi="Times New Roman" w:eastAsia="宋体" w:cs="Times New Roman"/>
                <w:color w:val="000000" w:themeColor="text1"/>
                <w:sz w:val="24"/>
                <w:szCs w:val="24"/>
              </w:rPr>
            </w:pPr>
            <w:r>
              <w:rPr>
                <w:rFonts w:hint="eastAsia" w:ascii="Times New Roman" w:hAnsi="宋体" w:eastAsia="宋体" w:cs="Times New Roman"/>
                <w:color w:val="000000" w:themeColor="text1"/>
                <w:sz w:val="24"/>
                <w:szCs w:val="24"/>
                <w:lang w:val="en-US" w:eastAsia="zh-CN"/>
              </w:rPr>
              <w:t>（6）</w:t>
            </w:r>
            <w:r>
              <w:rPr>
                <w:rFonts w:ascii="Times New Roman" w:hAnsi="宋体" w:eastAsia="宋体" w:cs="Times New Roman"/>
                <w:color w:val="000000" w:themeColor="text1"/>
                <w:sz w:val="24"/>
                <w:szCs w:val="24"/>
              </w:rPr>
              <w:t>验收监测中及时了解工况情况，监测分析方法采用国家有关部门颁布的标准分析方法，现场采样人员和监测人员必须经过考核并持有合格证书；监测数据严格实行三级审核制度。</w:t>
            </w:r>
          </w:p>
          <w:bookmarkEnd w:id="32"/>
          <w:bookmarkEnd w:id="33"/>
          <w:bookmarkEnd w:id="34"/>
          <w:bookmarkEnd w:id="35"/>
          <w:bookmarkEnd w:id="36"/>
          <w:p>
            <w:pPr>
              <w:spacing w:after="0" w:line="360" w:lineRule="auto"/>
              <w:ind w:firstLine="480" w:firstLineChars="200"/>
              <w:rPr>
                <w:rFonts w:ascii="Times New Roman" w:hAnsi="Times New Roman" w:eastAsia="宋体" w:cs="Times New Roman"/>
                <w:color w:val="FF0000"/>
                <w:sz w:val="24"/>
                <w:szCs w:val="24"/>
              </w:rPr>
            </w:pPr>
          </w:p>
        </w:tc>
      </w:tr>
    </w:tbl>
    <w:p>
      <w:pPr>
        <w:spacing w:line="360" w:lineRule="auto"/>
        <w:rPr>
          <w:rFonts w:eastAsia="仿宋_GB2312"/>
          <w:color w:val="FF0000"/>
          <w:sz w:val="21"/>
          <w:szCs w:val="21"/>
        </w:rPr>
      </w:pPr>
    </w:p>
    <w:p>
      <w:pPr>
        <w:spacing w:line="360" w:lineRule="auto"/>
        <w:rPr>
          <w:rFonts w:eastAsia="仿宋_GB2312"/>
          <w:color w:val="FF0000"/>
          <w:sz w:val="21"/>
          <w:szCs w:val="21"/>
        </w:rPr>
      </w:pPr>
    </w:p>
    <w:p>
      <w:pPr>
        <w:pStyle w:val="8"/>
        <w:rPr>
          <w:color w:val="000000" w:themeColor="text1"/>
        </w:rPr>
      </w:pPr>
      <w:bookmarkStart w:id="37" w:name="_Toc4009320"/>
      <w:r>
        <w:rPr>
          <w:color w:val="000000" w:themeColor="text1"/>
        </w:rPr>
        <w:t>表</w:t>
      </w:r>
      <w:r>
        <w:rPr>
          <w:rFonts w:hint="eastAsia"/>
          <w:color w:val="000000" w:themeColor="text1"/>
        </w:rPr>
        <w:t>六、验收监测内容</w:t>
      </w:r>
      <w:bookmarkEnd w:id="37"/>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8" w:hRule="atLeast"/>
          <w:jc w:val="center"/>
        </w:trPr>
        <w:tc>
          <w:tcPr>
            <w:tcW w:w="8522" w:type="dxa"/>
          </w:tcPr>
          <w:p>
            <w:pPr>
              <w:pStyle w:val="9"/>
            </w:pPr>
            <w:bookmarkStart w:id="38" w:name="_Toc4009321"/>
            <w:r>
              <w:rPr>
                <w:rFonts w:hint="eastAsia"/>
              </w:rPr>
              <w:t>6.1环境保护设施调试效果</w:t>
            </w:r>
            <w:bookmarkEnd w:id="38"/>
          </w:p>
          <w:p>
            <w:pPr>
              <w:spacing w:after="0" w:line="360" w:lineRule="auto"/>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本次验收主要针对废气排放情况进行监测，主要监测内容如下：</w:t>
            </w:r>
          </w:p>
          <w:p>
            <w:pPr>
              <w:spacing w:after="0" w:line="360" w:lineRule="auto"/>
              <w:ind w:firstLine="480" w:firstLineChars="200"/>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lang w:val="en-US" w:eastAsia="zh-CN"/>
              </w:rPr>
              <w:t>本项目主要为封闭焦棚逸散粉尘，无</w:t>
            </w:r>
            <w:r>
              <w:rPr>
                <w:rFonts w:hint="eastAsia" w:ascii="Times New Roman" w:hAnsi="宋体" w:eastAsia="宋体" w:cs="Times New Roman"/>
                <w:color w:val="000000" w:themeColor="text1"/>
                <w:sz w:val="24"/>
                <w:szCs w:val="24"/>
              </w:rPr>
              <w:t>组织废气监测内容见表6-1</w:t>
            </w:r>
            <w:r>
              <w:rPr>
                <w:rFonts w:hint="eastAsia" w:ascii="Times New Roman" w:hAnsi="宋体" w:eastAsia="宋体" w:cs="Times New Roman"/>
                <w:color w:val="000000" w:themeColor="text1"/>
                <w:sz w:val="24"/>
                <w:szCs w:val="24"/>
                <w:lang w:eastAsia="zh-CN"/>
              </w:rPr>
              <w:t>，间点位分布见下图</w:t>
            </w:r>
            <w:r>
              <w:rPr>
                <w:rFonts w:hint="eastAsia" w:ascii="Times New Roman" w:hAnsi="宋体" w:eastAsia="宋体" w:cs="Times New Roman"/>
                <w:color w:val="000000" w:themeColor="text1"/>
                <w:sz w:val="24"/>
                <w:szCs w:val="24"/>
              </w:rPr>
              <w:t>。</w:t>
            </w:r>
          </w:p>
          <w:p>
            <w:pPr>
              <w:spacing w:after="0" w:line="360" w:lineRule="auto"/>
              <w:ind w:firstLine="573"/>
              <w:jc w:val="center"/>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表6-1 有组织废气监测内容</w:t>
            </w:r>
          </w:p>
          <w:tbl>
            <w:tblPr>
              <w:tblStyle w:val="23"/>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2003"/>
              <w:gridCol w:w="2091"/>
              <w:gridCol w:w="1603"/>
              <w:gridCol w:w="10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47" w:type="pct"/>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编号</w:t>
                  </w:r>
                </w:p>
              </w:tc>
              <w:tc>
                <w:tcPr>
                  <w:tcW w:w="1206" w:type="pct"/>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点位名称</w:t>
                  </w:r>
                </w:p>
              </w:tc>
              <w:tc>
                <w:tcPr>
                  <w:tcW w:w="1259" w:type="pct"/>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965" w:type="pct"/>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监测频次</w:t>
                  </w:r>
                </w:p>
              </w:tc>
              <w:tc>
                <w:tcPr>
                  <w:tcW w:w="621" w:type="pct"/>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47" w:type="pct"/>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206" w:type="pct"/>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上风向</w:t>
                  </w:r>
                </w:p>
              </w:tc>
              <w:tc>
                <w:tcPr>
                  <w:tcW w:w="1259" w:type="pct"/>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颗粒物</w:t>
                  </w:r>
                </w:p>
              </w:tc>
              <w:tc>
                <w:tcPr>
                  <w:tcW w:w="965" w:type="pct"/>
                  <w:vMerge w:val="restart"/>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监测2天，每天3次</w:t>
                  </w:r>
                </w:p>
              </w:tc>
              <w:tc>
                <w:tcPr>
                  <w:tcW w:w="621" w:type="pct"/>
                  <w:vMerge w:val="restart"/>
                  <w:vAlign w:val="center"/>
                </w:tcPr>
                <w:p>
                  <w:pPr>
                    <w:spacing w:after="0"/>
                    <w:jc w:val="center"/>
                    <w:rPr>
                      <w:rFonts w:hint="default" w:ascii="Times New Roman" w:hAnsi="Times New Roman" w:eastAsia="宋体"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47" w:type="pct"/>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2#、3#、4#</w:t>
                  </w:r>
                </w:p>
              </w:tc>
              <w:tc>
                <w:tcPr>
                  <w:tcW w:w="1206" w:type="pct"/>
                  <w:vAlign w:val="center"/>
                </w:tcPr>
                <w:p>
                  <w:pPr>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下风向</w:t>
                  </w:r>
                </w:p>
              </w:tc>
              <w:tc>
                <w:tcPr>
                  <w:tcW w:w="1259" w:type="pct"/>
                  <w:vAlign w:val="center"/>
                </w:tcPr>
                <w:p>
                  <w:pPr>
                    <w:spacing w:after="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颗粒物</w:t>
                  </w:r>
                </w:p>
              </w:tc>
              <w:tc>
                <w:tcPr>
                  <w:tcW w:w="965" w:type="pct"/>
                  <w:vMerge w:val="continue"/>
                  <w:vAlign w:val="center"/>
                </w:tcPr>
                <w:p>
                  <w:pPr>
                    <w:spacing w:after="0"/>
                    <w:jc w:val="center"/>
                    <w:rPr>
                      <w:rFonts w:hint="default" w:ascii="Times New Roman" w:hAnsi="Times New Roman" w:eastAsia="宋体" w:cs="Times New Roman"/>
                      <w:sz w:val="21"/>
                      <w:szCs w:val="21"/>
                    </w:rPr>
                  </w:pPr>
                </w:p>
              </w:tc>
              <w:tc>
                <w:tcPr>
                  <w:tcW w:w="621" w:type="pct"/>
                  <w:vMerge w:val="continue"/>
                  <w:vAlign w:val="center"/>
                </w:tcPr>
                <w:p>
                  <w:pPr>
                    <w:spacing w:after="0"/>
                    <w:jc w:val="center"/>
                    <w:rPr>
                      <w:rFonts w:hint="default" w:ascii="Times New Roman" w:hAnsi="Times New Roman" w:eastAsia="宋体" w:cs="Times New Roman"/>
                      <w:sz w:val="21"/>
                      <w:szCs w:val="21"/>
                    </w:rPr>
                  </w:pPr>
                </w:p>
              </w:tc>
            </w:tr>
          </w:tbl>
          <w:p/>
          <w:p>
            <w:pPr>
              <w:pStyle w:val="2"/>
              <w:ind w:left="0" w:leftChars="0" w:firstLine="0" w:firstLineChars="0"/>
            </w:pPr>
            <w:r>
              <w:rPr>
                <w:sz w:val="21"/>
              </w:rPr>
              <w:pict>
                <v:group id="_x0000_s2106" o:spid="_x0000_s2106" o:spt="203" style="position:absolute;left:0pt;margin-left:225.15pt;margin-top:15.8pt;height:46.85pt;width:37.05pt;z-index:251677696;mso-width-relative:page;mso-height-relative:page;" coordorigin="13336,76093" coordsize="741,937">
                  <o:lock v:ext="edit" aspectratio="f"/>
                  <v:shape id="直接箭头连接符 12" o:spid="_x0000_s2107" o:spt="32" type="#_x0000_t32" style="position:absolute;left:13336;top:76186;flip:x y;height:844;width:1;" filled="f" stroked="t" coordsize="21600,21600">
                    <v:path arrowok="t"/>
                    <v:fill on="f" focussize="0,0"/>
                    <v:stroke joinstyle="round" endarrow="block"/>
                    <v:imagedata o:title=""/>
                    <o:lock v:ext="edit" aspectratio="f"/>
                  </v:shape>
                  <v:shape id="文本框 14" o:spid="_x0000_s2108" o:spt="202" type="#_x0000_t202" style="position:absolute;left:13343;top:76093;height:420;width:735;" filled="f" stroked="f" coordsize="21600,21600">
                    <v:path/>
                    <v:fill on="f" focussize="0,0"/>
                    <v:stroke on="f" weight="0.5pt"/>
                    <v:imagedata o:title=""/>
                    <o:lock v:ext="edit" aspectratio="f"/>
                    <v:textbox>
                      <w:txbxContent>
                        <w:p>
                          <w:pPr>
                            <w:rPr>
                              <w:rFonts w:hint="eastAsia" w:eastAsia="宋体"/>
                              <w:lang w:val="en-US" w:eastAsia="zh-CN"/>
                            </w:rPr>
                          </w:pPr>
                          <w:r>
                            <w:rPr>
                              <w:rFonts w:hint="eastAsia"/>
                              <w:lang w:val="en-US" w:eastAsia="zh-CN"/>
                            </w:rPr>
                            <w:t>N</w:t>
                          </w:r>
                        </w:p>
                      </w:txbxContent>
                    </v:textbox>
                  </v:shape>
                </v:group>
              </w:pict>
            </w:r>
          </w:p>
          <w:p/>
          <w:p>
            <w:pPr>
              <w:pStyle w:val="2"/>
            </w:pPr>
          </w:p>
          <w:p/>
          <w:p>
            <w:pPr>
              <w:pStyle w:val="2"/>
            </w:pPr>
            <w:r>
              <w:rPr>
                <w:sz w:val="21"/>
              </w:rPr>
              <w:pict>
                <v:rect id="矩形 622" o:spid="_x0000_s2085" o:spt="1" style="position:absolute;left:0pt;margin-left:363.65pt;margin-top:10.2pt;height:20.7pt;width:61.1pt;z-index:-251652096;mso-width-relative:page;mso-height-relative:page;" filled="f" stroked="t" coordsize="21600,21600">
                  <v:path/>
                  <v:fill on="f" focussize="0,0"/>
                  <v:stroke color="#FFFFFF" joinstyle="miter"/>
                  <v:imagedata o:title=""/>
                  <o:lock v:ext="edit" aspectratio="f"/>
                  <v:textbox>
                    <w:txbxContent>
                      <w:p>
                        <w:pPr>
                          <w:spacing w:line="280" w:lineRule="exact"/>
                          <w:rPr>
                            <w:rFonts w:hint="eastAsia" w:eastAsia="宋体"/>
                            <w:sz w:val="21"/>
                            <w:szCs w:val="21"/>
                            <w:lang w:val="en-US" w:eastAsia="zh-CN"/>
                          </w:rPr>
                        </w:pPr>
                        <w:r>
                          <w:rPr>
                            <w:rFonts w:hint="eastAsia" w:eastAsia="宋体"/>
                            <w:sz w:val="21"/>
                            <w:szCs w:val="21"/>
                            <w:lang w:val="en-US" w:eastAsia="zh-CN"/>
                          </w:rPr>
                          <w:t>4#下风向</w:t>
                        </w:r>
                      </w:p>
                    </w:txbxContent>
                  </v:textbox>
                </v:rect>
              </w:pict>
            </w:r>
            <w:r>
              <w:rPr>
                <w:sz w:val="21"/>
              </w:rPr>
              <w:pict>
                <v:rect id="_x0000_s2086" o:spid="_x0000_s2086" o:spt="1" style="position:absolute;left:0pt;margin-left:-5.6pt;margin-top:15pt;height:20.7pt;width:62.6pt;z-index:-251657216;mso-width-relative:page;mso-height-relative:page;" filled="f" stroked="t" coordsize="21600,21600">
                  <v:path/>
                  <v:fill on="f" focussize="0,0"/>
                  <v:stroke color="#FFFFFF" joinstyle="miter"/>
                  <v:imagedata o:title=""/>
                  <o:lock v:ext="edit" aspectratio="f"/>
                  <v:textbox>
                    <w:txbxContent>
                      <w:p>
                        <w:pPr>
                          <w:spacing w:line="280" w:lineRule="exact"/>
                          <w:rPr>
                            <w:rFonts w:hint="eastAsia" w:eastAsia="宋体"/>
                            <w:sz w:val="21"/>
                            <w:szCs w:val="21"/>
                            <w:lang w:val="en-US" w:eastAsia="zh-CN"/>
                          </w:rPr>
                        </w:pPr>
                        <w:r>
                          <w:rPr>
                            <w:rFonts w:hint="eastAsia" w:eastAsia="宋体"/>
                            <w:sz w:val="21"/>
                            <w:szCs w:val="21"/>
                            <w:lang w:val="en-US" w:eastAsia="zh-CN"/>
                          </w:rPr>
                          <w:t>2#下风向</w:t>
                        </w:r>
                      </w:p>
                    </w:txbxContent>
                  </v:textbox>
                </v:rect>
              </w:pict>
            </w:r>
            <w:r>
              <w:rPr>
                <w:sz w:val="21"/>
              </w:rPr>
              <w:pict>
                <v:rect id="矩形 623" o:spid="_x0000_s2088" o:spt="1" style="position:absolute;left:0pt;margin-left:243.35pt;margin-top:10.35pt;height:20.7pt;width:62.6pt;z-index:-251655168;mso-width-relative:page;mso-height-relative:page;" filled="f" stroked="t" coordsize="21600,21600">
                  <v:path/>
                  <v:fill on="f" focussize="0,0"/>
                  <v:stroke color="#FFFFFF" joinstyle="miter"/>
                  <v:imagedata o:title=""/>
                  <o:lock v:ext="edit" aspectratio="f"/>
                  <v:textbox>
                    <w:txbxContent>
                      <w:p>
                        <w:pPr>
                          <w:spacing w:line="280" w:lineRule="exact"/>
                          <w:rPr>
                            <w:rFonts w:hint="eastAsia" w:eastAsia="宋体"/>
                            <w:sz w:val="21"/>
                            <w:szCs w:val="21"/>
                            <w:lang w:val="en-US" w:eastAsia="zh-CN"/>
                          </w:rPr>
                        </w:pPr>
                        <w:r>
                          <w:rPr>
                            <w:rFonts w:hint="eastAsia" w:eastAsia="宋体"/>
                            <w:sz w:val="21"/>
                            <w:szCs w:val="21"/>
                            <w:lang w:val="en-US" w:eastAsia="zh-CN"/>
                          </w:rPr>
                          <w:t>2#下风向</w:t>
                        </w:r>
                      </w:p>
                    </w:txbxContent>
                  </v:textbox>
                </v:rect>
              </w:pict>
            </w:r>
            <w:r>
              <w:rPr>
                <w:sz w:val="21"/>
              </w:rPr>
              <w:pict>
                <v:rect id="_x0000_s2087" o:spid="_x0000_s2087" o:spt="1" style="position:absolute;left:0pt;margin-left:97.3pt;margin-top:13.7pt;height:20.7pt;width:61.1pt;z-index:-251654144;mso-width-relative:page;mso-height-relative:page;" filled="f" stroked="t" coordsize="21600,21600">
                  <v:path/>
                  <v:fill on="f" focussize="0,0"/>
                  <v:stroke color="#FFFFFF" joinstyle="miter"/>
                  <v:imagedata o:title=""/>
                  <o:lock v:ext="edit" aspectratio="f"/>
                  <v:textbox>
                    <w:txbxContent>
                      <w:p>
                        <w:pPr>
                          <w:spacing w:line="280" w:lineRule="exact"/>
                          <w:rPr>
                            <w:rFonts w:hint="eastAsia" w:eastAsia="宋体"/>
                            <w:sz w:val="21"/>
                            <w:szCs w:val="21"/>
                            <w:lang w:val="en-US" w:eastAsia="zh-CN"/>
                          </w:rPr>
                        </w:pPr>
                        <w:r>
                          <w:rPr>
                            <w:rFonts w:hint="eastAsia" w:eastAsia="宋体"/>
                            <w:sz w:val="21"/>
                            <w:szCs w:val="21"/>
                            <w:lang w:val="en-US" w:eastAsia="zh-CN"/>
                          </w:rPr>
                          <w:t>4#下风向</w:t>
                        </w:r>
                      </w:p>
                    </w:txbxContent>
                  </v:textbox>
                </v:rect>
              </w:pict>
            </w:r>
            <w:r>
              <w:rPr>
                <w:sz w:val="21"/>
              </w:rPr>
              <w:pict>
                <v:rect id="矩形 624" o:spid="_x0000_s2089" o:spt="1" style="position:absolute;left:0pt;margin-left:303.7pt;margin-top:10.35pt;height:20.7pt;width:59.55pt;z-index:-251656192;mso-width-relative:page;mso-height-relative:page;" filled="f" stroked="t" coordsize="21600,21600">
                  <v:path/>
                  <v:fill on="f" focussize="0,0"/>
                  <v:stroke color="#FFFFFF" joinstyle="miter"/>
                  <v:imagedata o:title=""/>
                  <o:lock v:ext="edit" aspectratio="f"/>
                  <v:textbox>
                    <w:txbxContent>
                      <w:p>
                        <w:pPr>
                          <w:spacing w:line="280" w:lineRule="exact"/>
                          <w:rPr>
                            <w:rFonts w:hint="eastAsia" w:eastAsia="宋体"/>
                            <w:sz w:val="21"/>
                            <w:szCs w:val="21"/>
                            <w:lang w:val="en-US" w:eastAsia="zh-CN"/>
                          </w:rPr>
                        </w:pPr>
                        <w:r>
                          <w:rPr>
                            <w:rFonts w:hint="eastAsia" w:eastAsia="宋体"/>
                            <w:sz w:val="21"/>
                            <w:szCs w:val="21"/>
                            <w:lang w:val="en-US" w:eastAsia="zh-CN"/>
                          </w:rPr>
                          <w:t>3#下风向</w:t>
                        </w:r>
                      </w:p>
                    </w:txbxContent>
                  </v:textbox>
                </v:rect>
              </w:pict>
            </w:r>
            <w:r>
              <w:rPr>
                <w:sz w:val="21"/>
              </w:rPr>
              <w:pict>
                <v:rect id="_x0000_s2084" o:spid="_x0000_s2084" o:spt="1" style="position:absolute;left:0pt;margin-left:45.1pt;margin-top:14.15pt;height:20.7pt;width:59.55pt;z-index:-251653120;mso-width-relative:page;mso-height-relative:page;" filled="f" stroked="t" coordsize="21600,21600">
                  <v:path/>
                  <v:fill on="f" focussize="0,0"/>
                  <v:stroke color="#FFFFFF" joinstyle="miter"/>
                  <v:imagedata o:title=""/>
                  <o:lock v:ext="edit" aspectratio="f"/>
                  <v:textbox>
                    <w:txbxContent>
                      <w:p>
                        <w:pPr>
                          <w:spacing w:line="280" w:lineRule="exact"/>
                          <w:rPr>
                            <w:rFonts w:hint="eastAsia" w:eastAsia="宋体"/>
                            <w:sz w:val="21"/>
                            <w:szCs w:val="21"/>
                            <w:lang w:val="en-US" w:eastAsia="zh-CN"/>
                          </w:rPr>
                        </w:pPr>
                        <w:r>
                          <w:rPr>
                            <w:rFonts w:hint="eastAsia" w:eastAsia="宋体"/>
                            <w:sz w:val="21"/>
                            <w:szCs w:val="21"/>
                            <w:lang w:val="en-US" w:eastAsia="zh-CN"/>
                          </w:rPr>
                          <w:t>3#下风向</w:t>
                        </w:r>
                      </w:p>
                    </w:txbxContent>
                  </v:textbox>
                </v:rect>
              </w:pict>
            </w:r>
          </w:p>
          <w:p>
            <w:r>
              <w:rPr>
                <w:sz w:val="21"/>
              </w:rPr>
              <w:pict>
                <v:shape id="_x0000_s2090" o:spid="_x0000_s2090" o:spt="3" type="#_x0000_t3" style="position:absolute;left:0pt;margin-left:73.55pt;margin-top:14.55pt;height:10.5pt;width:10.5pt;z-index:-251646976;mso-width-relative:page;mso-height-relative:page;" fillcolor="#FFFFFF" filled="t" stroked="t" coordsize="21600,21600">
                  <v:path/>
                  <v:fill on="t" color2="#FFFFFF" focussize="0,0"/>
                  <v:stroke/>
                  <v:imagedata o:title=""/>
                  <o:lock v:ext="edit" aspectratio="f"/>
                  <v:textbox>
                    <w:txbxContent>
                      <w:p/>
                    </w:txbxContent>
                  </v:textbox>
                </v:shape>
              </w:pict>
            </w:r>
            <w:r>
              <w:rPr>
                <w:sz w:val="21"/>
              </w:rPr>
              <w:pict>
                <v:shape id="_x0000_s2091" o:spid="_x0000_s2091" o:spt="3" type="#_x0000_t3" style="position:absolute;left:0pt;margin-left:39.85pt;margin-top:14.75pt;height:10.5pt;width:10.5pt;z-index:-251648000;mso-width-relative:page;mso-height-relative:page;" fillcolor="#FFFFFF" filled="t" stroked="t" coordsize="21600,21600">
                  <v:path/>
                  <v:fill on="t" color2="#FFFFFF" focussize="0,0"/>
                  <v:stroke/>
                  <v:imagedata o:title=""/>
                  <o:lock v:ext="edit" aspectratio="f"/>
                  <v:textbox>
                    <w:txbxContent>
                      <w:p/>
                    </w:txbxContent>
                  </v:textbox>
                </v:shape>
              </w:pict>
            </w:r>
            <w:r>
              <w:rPr>
                <w:sz w:val="21"/>
              </w:rPr>
              <w:pict>
                <v:shape id="_x0000_s2098" o:spid="_x0000_s2098" o:spt="3" type="#_x0000_t3" style="position:absolute;left:0pt;margin-left:108.7pt;margin-top:15.5pt;height:10.5pt;width:10.5pt;z-index:-251644928;mso-width-relative:page;mso-height-relative:page;" fillcolor="#FFFFFF" filled="t" stroked="t" coordsize="21600,21600">
                  <v:path/>
                  <v:fill on="t" color2="#FFFFFF" focussize="0,0"/>
                  <v:stroke/>
                  <v:imagedata o:title=""/>
                  <o:lock v:ext="edit" aspectratio="f"/>
                  <v:textbox>
                    <w:txbxContent>
                      <w:p/>
                    </w:txbxContent>
                  </v:textbox>
                </v:shape>
              </w:pict>
            </w:r>
            <w:r>
              <w:rPr>
                <w:sz w:val="21"/>
              </w:rPr>
              <w:pict>
                <v:shape id="_x0000_s2093" o:spid="_x0000_s2093" o:spt="3" type="#_x0000_t3" style="position:absolute;left:0pt;margin-left:328.5pt;margin-top:11.5pt;height:10.5pt;width:10.5pt;z-index:-251650048;mso-width-relative:page;mso-height-relative:page;" fillcolor="#FFFFFF" filled="t" stroked="t" coordsize="21600,21600">
                  <v:path/>
                  <v:fill on="t" color2="#FFFFFF" focussize="0,0"/>
                  <v:stroke/>
                  <v:imagedata o:title=""/>
                  <o:lock v:ext="edit" aspectratio="f"/>
                  <v:textbox>
                    <w:txbxContent>
                      <w:p/>
                    </w:txbxContent>
                  </v:textbox>
                </v:shape>
              </w:pict>
            </w:r>
            <w:r>
              <w:rPr>
                <w:sz w:val="21"/>
              </w:rPr>
              <w:pict>
                <v:shape id="_x0000_s2094" o:spid="_x0000_s2094" o:spt="3" type="#_x0000_t3" style="position:absolute;left:0pt;margin-left:393.2pt;margin-top:12.1pt;height:10.5pt;width:10.5pt;z-index:-251651072;mso-width-relative:page;mso-height-relative:page;" fillcolor="#FFFFFF" filled="t" stroked="t" coordsize="21600,21600">
                  <v:path/>
                  <v:fill on="t" color2="#FFFFFF" focussize="0,0"/>
                  <v:stroke/>
                  <v:imagedata o:title=""/>
                  <o:lock v:ext="edit" aspectratio="f"/>
                  <v:textbox>
                    <w:txbxContent>
                      <w:p/>
                    </w:txbxContent>
                  </v:textbox>
                </v:shape>
              </w:pict>
            </w:r>
            <w:r>
              <w:rPr>
                <w:sz w:val="21"/>
              </w:rPr>
              <w:pict>
                <v:shape id="_x0000_s2092" o:spid="_x0000_s2092" o:spt="3" type="#_x0000_t3" style="position:absolute;left:0pt;margin-left:262.6pt;margin-top:13.35pt;height:10.5pt;width:10.5pt;z-index:-251649024;mso-width-relative:page;mso-height-relative:page;" fillcolor="#FFFFFF" filled="t" stroked="t" coordsize="21600,21600">
                  <v:path/>
                  <v:fill on="t" color2="#FFFFFF" focussize="0,0"/>
                  <v:stroke/>
                  <v:imagedata o:title=""/>
                  <o:lock v:ext="edit" aspectratio="f"/>
                  <v:textbox>
                    <w:txbxContent>
                      <w:p/>
                    </w:txbxContent>
                  </v:textbox>
                </v:shape>
              </w:pict>
            </w:r>
          </w:p>
          <w:p>
            <w:pPr>
              <w:pStyle w:val="2"/>
            </w:pPr>
            <w:r>
              <w:rPr>
                <w:sz w:val="21"/>
              </w:rPr>
              <w:pict>
                <v:group id="_x0000_s2099" o:spid="_x0000_s2099" o:spt="203" style="position:absolute;left:0pt;margin-left:261.35pt;margin-top:5.05pt;height:98.7pt;width:146pt;z-index:-251645952;mso-width-relative:page;mso-height-relative:page;" coordorigin="6117,77460" coordsize="1950,2738">
                  <o:lock v:ext="edit" aspectratio="f"/>
                  <v:shape id="_x0000_s2100" o:spid="_x0000_s2100" o:spt="202" type="#_x0000_t202" style="position:absolute;left:5716;top:77847;height:1951;width:2739;rotation:5898240f;" fillcolor="#FFFFFF" filled="t" stroked="t" coordsize="21600,21600">
                    <v:path/>
                    <v:fill on="t" color2="#FFFFFF" focussize="0,0"/>
                    <v:stroke joinstyle="miter"/>
                    <v:imagedata o:title=""/>
                    <o:lock v:ext="edit" aspectratio="f"/>
                    <v:textbox>
                      <w:txbxContent>
                        <w:p/>
                      </w:txbxContent>
                    </v:textbox>
                  </v:shape>
                  <v:shape id="_x0000_s2101" o:spid="_x0000_s2101" o:spt="202" type="#_x0000_t202" style="position:absolute;left:6335;top:78299;height:1539;width:1514;rotation:5898240f;" fillcolor="#FFFFFF" filled="t" stroked="f" coordsize="21600,2160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宋体" w:hAnsi="宋体" w:eastAsia="宋体" w:cs="宋体"/>
                              <w:b w:val="0"/>
                              <w:bCs/>
                              <w:sz w:val="21"/>
                              <w:szCs w:val="21"/>
                              <w:lang w:val="en-US" w:eastAsia="zh-CN"/>
                            </w:rPr>
                          </w:pPr>
                          <w:r>
                            <w:rPr>
                              <w:rStyle w:val="26"/>
                              <w:rFonts w:hint="eastAsia" w:hAnsi="宋体" w:eastAsia="宋体" w:cs="宋体"/>
                              <w:sz w:val="21"/>
                              <w:szCs w:val="21"/>
                              <w:lang w:val="en-US" w:eastAsia="zh-CN"/>
                            </w:rPr>
                            <w:t>山东潍焦集团薛城能源有限公司</w:t>
                          </w:r>
                          <w:r>
                            <w:rPr>
                              <w:rFonts w:hint="eastAsia" w:hAnsi="宋体" w:eastAsia="宋体" w:cs="宋体"/>
                              <w:b w:val="0"/>
                              <w:bCs/>
                              <w:i w:val="0"/>
                              <w:caps w:val="0"/>
                              <w:color w:val="000000"/>
                              <w:spacing w:val="0"/>
                              <w:sz w:val="21"/>
                              <w:szCs w:val="21"/>
                              <w:shd w:val="clear" w:color="auto" w:fill="FFFFFF"/>
                              <w:lang w:val="en-US" w:eastAsia="zh-CN"/>
                            </w:rPr>
                            <w:t>2022.7.27</w:t>
                          </w:r>
                        </w:p>
                        <w:p>
                          <w:pPr>
                            <w:rPr>
                              <w:rFonts w:hint="eastAsia"/>
                              <w:lang w:eastAsia="zh-CN"/>
                            </w:rPr>
                          </w:pPr>
                        </w:p>
                      </w:txbxContent>
                    </v:textbox>
                  </v:shape>
                </v:group>
              </w:pict>
            </w:r>
            <w:r>
              <w:rPr>
                <w:sz w:val="21"/>
              </w:rPr>
              <w:pict>
                <v:group id="_x0000_s2095" o:spid="_x0000_s2095" o:spt="203" style="position:absolute;left:0pt;margin-left:46.8pt;margin-top:5.5pt;height:96.75pt;width:137.65pt;z-index:-251643904;mso-width-relative:page;mso-height-relative:page;" coordorigin="6117,77460" coordsize="1950,2738">
                  <o:lock v:ext="edit" aspectratio="f"/>
                  <v:shape id="_x0000_s2096" o:spid="_x0000_s2096" o:spt="202" type="#_x0000_t202" style="position:absolute;left:5716;top:77847;height:1951;width:2739;rotation:5898240f;" fillcolor="#FFFFFF" filled="t" stroked="t" coordsize="21600,21600">
                    <v:path/>
                    <v:fill on="t" color2="#FFFFFF" focussize="0,0"/>
                    <v:stroke joinstyle="miter"/>
                    <v:imagedata o:title=""/>
                    <o:lock v:ext="edit" aspectratio="f"/>
                    <v:textbox>
                      <w:txbxContent>
                        <w:p/>
                      </w:txbxContent>
                    </v:textbox>
                  </v:shape>
                  <v:shape id="_x0000_s2097" o:spid="_x0000_s2097" o:spt="202" type="#_x0000_t202" style="position:absolute;left:6335;top:78299;height:1539;width:1514;rotation:5898240f;" fillcolor="#FFFFFF" filled="t" stroked="f" coordsize="21600,21600">
                    <v:path/>
                    <v:fill on="t" color2="#FFFFF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宋体" w:hAnsi="宋体" w:eastAsia="宋体" w:cs="宋体"/>
                              <w:b w:val="0"/>
                              <w:bCs/>
                              <w:sz w:val="21"/>
                              <w:szCs w:val="21"/>
                              <w:lang w:val="en-US" w:eastAsia="zh-CN"/>
                            </w:rPr>
                          </w:pPr>
                          <w:r>
                            <w:rPr>
                              <w:rStyle w:val="26"/>
                              <w:rFonts w:hint="eastAsia" w:hAnsi="宋体" w:eastAsia="宋体" w:cs="宋体"/>
                              <w:sz w:val="21"/>
                              <w:szCs w:val="21"/>
                              <w:lang w:val="en-US" w:eastAsia="zh-CN"/>
                            </w:rPr>
                            <w:t>山东潍焦集团薛城能源有限公司</w:t>
                          </w:r>
                          <w:r>
                            <w:rPr>
                              <w:rFonts w:hint="eastAsia" w:hAnsi="宋体" w:eastAsia="宋体" w:cs="宋体"/>
                              <w:b w:val="0"/>
                              <w:bCs/>
                              <w:i w:val="0"/>
                              <w:caps w:val="0"/>
                              <w:color w:val="000000"/>
                              <w:spacing w:val="0"/>
                              <w:sz w:val="21"/>
                              <w:szCs w:val="21"/>
                              <w:shd w:val="clear" w:color="auto" w:fill="FFFFFF"/>
                              <w:lang w:val="en-US" w:eastAsia="zh-CN"/>
                            </w:rPr>
                            <w:t>2022.7.26</w:t>
                          </w:r>
                        </w:p>
                        <w:p>
                          <w:pPr>
                            <w:rPr>
                              <w:rFonts w:hint="eastAsia"/>
                              <w:lang w:eastAsia="zh-CN"/>
                            </w:rPr>
                          </w:pPr>
                        </w:p>
                      </w:txbxContent>
                    </v:textbox>
                  </v:shape>
                </v:group>
              </w:pict>
            </w:r>
          </w:p>
          <w:p/>
          <w:p/>
          <w:p/>
          <w:p>
            <w:r>
              <w:rPr>
                <w:sz w:val="21"/>
              </w:rPr>
              <w:pict>
                <v:shape id="_x0000_s2102" o:spid="_x0000_s2102" o:spt="3" type="#_x0000_t3" style="position:absolute;left:0pt;margin-left:165.45pt;margin-top:18.75pt;height:10.5pt;width:10.5pt;z-index:-251641856;mso-width-relative:page;mso-height-relative:page;" fillcolor="#FFFFFF" filled="t" stroked="t" coordsize="21600,21600">
                  <v:path/>
                  <v:fill on="t" color2="#FFFFFF" focussize="0,0"/>
                  <v:stroke/>
                  <v:imagedata o:title=""/>
                  <o:lock v:ext="edit" aspectratio="f"/>
                  <v:textbox>
                    <w:txbxContent>
                      <w:p/>
                    </w:txbxContent>
                  </v:textbox>
                </v:shape>
              </w:pict>
            </w:r>
            <w:r>
              <w:rPr>
                <w:sz w:val="21"/>
              </w:rPr>
              <w:pict>
                <v:shape id="_x0000_s2103" o:spid="_x0000_s2103" o:spt="3" type="#_x0000_t3" style="position:absolute;left:0pt;margin-left:327.35pt;margin-top:19.75pt;height:10.5pt;width:10.5pt;z-index:-251642880;mso-width-relative:page;mso-height-relative:page;" fillcolor="#FFFFFF" filled="t" stroked="t" coordsize="21600,21600">
                  <v:path/>
                  <v:fill on="t" color2="#FFFFFF" focussize="0,0"/>
                  <v:stroke/>
                  <v:imagedata o:title=""/>
                  <o:lock v:ext="edit" aspectratio="f"/>
                  <v:textbox>
                    <w:txbxContent>
                      <w:p/>
                    </w:txbxContent>
                  </v:textbox>
                </v:shape>
              </w:pict>
            </w:r>
          </w:p>
          <w:p>
            <w:r>
              <w:rPr>
                <w:sz w:val="21"/>
              </w:rPr>
              <w:pict>
                <v:rect id="矩形 625" o:spid="_x0000_s2105" o:spt="1" style="position:absolute;left:0pt;margin-left:144.65pt;margin-top:6.15pt;height:20.7pt;width:72.3pt;z-index:-251639808;mso-width-relative:page;mso-height-relative:page;" filled="f" stroked="t" coordsize="21600,21600">
                  <v:path/>
                  <v:fill on="f" focussize="0,0"/>
                  <v:stroke color="#FFFFFF" joinstyle="miter"/>
                  <v:imagedata o:title=""/>
                  <o:lock v:ext="edit" aspectratio="f"/>
                  <v:textbox>
                    <w:txbxContent>
                      <w:p>
                        <w:pPr>
                          <w:spacing w:line="280" w:lineRule="exact"/>
                          <w:rPr>
                            <w:rFonts w:hint="eastAsia" w:eastAsia="宋体"/>
                            <w:sz w:val="21"/>
                            <w:szCs w:val="21"/>
                            <w:lang w:val="en-US" w:eastAsia="zh-CN"/>
                          </w:rPr>
                        </w:pPr>
                        <w:r>
                          <w:rPr>
                            <w:rFonts w:hint="eastAsia" w:eastAsia="宋体"/>
                            <w:sz w:val="21"/>
                            <w:szCs w:val="21"/>
                            <w:lang w:val="en-US" w:eastAsia="zh-CN"/>
                          </w:rPr>
                          <w:t>1#上风向</w:t>
                        </w:r>
                      </w:p>
                    </w:txbxContent>
                  </v:textbox>
                </v:rect>
              </w:pict>
            </w:r>
            <w:r>
              <w:rPr>
                <w:sz w:val="21"/>
              </w:rPr>
              <w:pict>
                <v:rect id="_x0000_s2104" o:spid="_x0000_s2104" o:spt="1" style="position:absolute;left:0pt;margin-left:306.85pt;margin-top:7.9pt;height:20.7pt;width:59.8pt;z-index:-251640832;mso-width-relative:page;mso-height-relative:page;" filled="f" stroked="t" coordsize="21600,21600">
                  <v:path/>
                  <v:fill on="f" focussize="0,0"/>
                  <v:stroke color="#FFFFFF" joinstyle="miter"/>
                  <v:imagedata o:title=""/>
                  <o:lock v:ext="edit" aspectratio="f"/>
                  <v:textbox>
                    <w:txbxContent>
                      <w:p>
                        <w:pPr>
                          <w:spacing w:line="280" w:lineRule="exact"/>
                          <w:rPr>
                            <w:rFonts w:hint="eastAsia" w:eastAsia="宋体"/>
                            <w:sz w:val="21"/>
                            <w:szCs w:val="21"/>
                            <w:lang w:val="en-US" w:eastAsia="zh-CN"/>
                          </w:rPr>
                        </w:pPr>
                        <w:r>
                          <w:rPr>
                            <w:rFonts w:hint="eastAsia" w:eastAsia="宋体"/>
                            <w:sz w:val="21"/>
                            <w:szCs w:val="21"/>
                            <w:lang w:val="en-US" w:eastAsia="zh-CN"/>
                          </w:rPr>
                          <w:t>1#上风向</w:t>
                        </w:r>
                      </w:p>
                    </w:txbxContent>
                  </v:textbox>
                </v:rect>
              </w:pict>
            </w:r>
          </w:p>
          <w:p/>
          <w:p/>
          <w:p/>
          <w:p/>
          <w:p/>
          <w:p/>
        </w:tc>
      </w:tr>
    </w:tbl>
    <w:p>
      <w:pPr>
        <w:spacing w:line="360" w:lineRule="auto"/>
        <w:rPr>
          <w:rFonts w:eastAsia="仿宋_GB2312"/>
          <w:color w:val="FF0000"/>
          <w:sz w:val="21"/>
          <w:szCs w:val="21"/>
        </w:rPr>
      </w:pPr>
    </w:p>
    <w:p>
      <w:pPr>
        <w:pStyle w:val="8"/>
        <w:rPr>
          <w:color w:val="000000" w:themeColor="text1"/>
        </w:rPr>
      </w:pPr>
      <w:bookmarkStart w:id="39" w:name="_Toc4009322"/>
      <w:r>
        <w:rPr>
          <w:color w:val="000000" w:themeColor="text1"/>
        </w:rPr>
        <w:t>表</w:t>
      </w:r>
      <w:r>
        <w:rPr>
          <w:rFonts w:hint="eastAsia"/>
          <w:color w:val="000000" w:themeColor="text1"/>
        </w:rPr>
        <w:t>七、验收监测结果</w:t>
      </w:r>
      <w:bookmarkEnd w:id="39"/>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522" w:type="dxa"/>
          </w:tcPr>
          <w:p>
            <w:pPr>
              <w:pStyle w:val="9"/>
            </w:pPr>
            <w:bookmarkStart w:id="40" w:name="_Toc4009323"/>
            <w:r>
              <w:t>7.1验收监测期间生产工况记录：</w:t>
            </w:r>
            <w:bookmarkEnd w:id="40"/>
          </w:p>
          <w:p>
            <w:pPr>
              <w:spacing w:after="0" w:line="360" w:lineRule="auto"/>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sz w:val="24"/>
                <w:szCs w:val="24"/>
              </w:rPr>
              <w:t>本项目为</w:t>
            </w:r>
            <w:r>
              <w:rPr>
                <w:rFonts w:hint="default" w:ascii="Times New Roman" w:hAnsi="Times New Roman" w:eastAsia="宋体" w:cs="Times New Roman"/>
                <w:sz w:val="24"/>
                <w:szCs w:val="24"/>
                <w:lang w:eastAsia="zh-CN"/>
              </w:rPr>
              <w:t>焦场封闭</w:t>
            </w:r>
            <w:r>
              <w:rPr>
                <w:rFonts w:hint="default" w:ascii="Times New Roman" w:hAnsi="Times New Roman" w:eastAsia="宋体" w:cs="Times New Roman"/>
                <w:color w:val="000000" w:themeColor="text1"/>
                <w:sz w:val="24"/>
                <w:szCs w:val="24"/>
                <w:lang w:eastAsia="zh-CN"/>
              </w:rPr>
              <w:t>项目</w:t>
            </w:r>
            <w:r>
              <w:rPr>
                <w:rFonts w:hint="default"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eastAsia="zh-CN"/>
              </w:rPr>
              <w:t>本</w:t>
            </w:r>
            <w:r>
              <w:rPr>
                <w:rFonts w:hint="default" w:ascii="Times New Roman" w:hAnsi="Times New Roman" w:eastAsia="宋体" w:cs="Times New Roman"/>
                <w:color w:val="000000" w:themeColor="text1"/>
                <w:sz w:val="24"/>
                <w:szCs w:val="24"/>
                <w:lang w:eastAsia="zh-CN"/>
              </w:rPr>
              <w:t>项目</w:t>
            </w:r>
            <w:r>
              <w:rPr>
                <w:rFonts w:hint="eastAsia" w:ascii="Times New Roman" w:hAnsi="Times New Roman" w:eastAsia="宋体" w:cs="Times New Roman"/>
                <w:color w:val="000000" w:themeColor="text1"/>
                <w:sz w:val="24"/>
                <w:szCs w:val="24"/>
                <w:lang w:eastAsia="zh-CN"/>
              </w:rPr>
              <w:t>设计最大储存量为</w:t>
            </w:r>
            <w:r>
              <w:rPr>
                <w:rFonts w:hint="eastAsia" w:ascii="Times New Roman" w:hAnsi="Times New Roman" w:eastAsia="宋体" w:cs="Times New Roman"/>
                <w:color w:val="000000" w:themeColor="text1"/>
                <w:sz w:val="24"/>
                <w:szCs w:val="24"/>
                <w:lang w:val="en-US" w:eastAsia="zh-CN"/>
              </w:rPr>
              <w:t>21.6万吨，焦炭日产量为6000吨，其中40%焦炭经本项目储运，设计储运量为2400t/d，</w:t>
            </w:r>
            <w:r>
              <w:rPr>
                <w:rFonts w:hint="default" w:ascii="Times New Roman" w:hAnsi="Times New Roman" w:eastAsia="宋体" w:cs="Times New Roman"/>
                <w:color w:val="000000" w:themeColor="text1"/>
                <w:sz w:val="24"/>
                <w:szCs w:val="24"/>
              </w:rPr>
              <w:t>验收监测期间，各处理设施运行负荷稳定，</w:t>
            </w:r>
            <w:r>
              <w:rPr>
                <w:rFonts w:hint="default" w:ascii="Times New Roman" w:hAnsi="Times New Roman" w:eastAsia="宋体" w:cs="Times New Roman"/>
                <w:color w:val="000000" w:themeColor="text1"/>
                <w:sz w:val="24"/>
                <w:szCs w:val="24"/>
                <w:lang w:val="en-US" w:eastAsia="zh-CN"/>
              </w:rPr>
              <w:t>实际</w:t>
            </w:r>
            <w:r>
              <w:rPr>
                <w:rFonts w:hint="eastAsia" w:ascii="Times New Roman" w:hAnsi="Times New Roman" w:eastAsia="宋体" w:cs="Times New Roman"/>
                <w:color w:val="000000" w:themeColor="text1"/>
                <w:sz w:val="24"/>
                <w:szCs w:val="24"/>
                <w:lang w:val="en-US" w:eastAsia="zh-CN"/>
              </w:rPr>
              <w:t>储运量为1862</w:t>
            </w:r>
            <w:r>
              <w:rPr>
                <w:rFonts w:hint="default" w:ascii="Times New Roman" w:hAnsi="Times New Roman" w:eastAsia="宋体" w:cs="Times New Roman"/>
                <w:color w:val="000000" w:themeColor="text1"/>
                <w:sz w:val="24"/>
                <w:szCs w:val="24"/>
                <w:lang w:val="en-US" w:eastAsia="zh-CN"/>
              </w:rPr>
              <w:t>~</w:t>
            </w:r>
            <w:r>
              <w:rPr>
                <w:rFonts w:hint="eastAsia" w:ascii="Times New Roman" w:hAnsi="Times New Roman" w:eastAsia="宋体" w:cs="Times New Roman"/>
                <w:color w:val="000000" w:themeColor="text1"/>
                <w:sz w:val="24"/>
                <w:szCs w:val="24"/>
                <w:lang w:val="en-US" w:eastAsia="zh-CN"/>
              </w:rPr>
              <w:t>1899</w:t>
            </w:r>
            <w:r>
              <w:rPr>
                <w:rFonts w:hint="default" w:ascii="Times New Roman" w:hAnsi="Times New Roman" w:eastAsia="宋体" w:cs="Times New Roman"/>
                <w:color w:val="000000" w:themeColor="text1"/>
                <w:sz w:val="24"/>
                <w:szCs w:val="24"/>
                <w:lang w:val="en-US" w:eastAsia="zh-CN"/>
              </w:rPr>
              <w:t>t/d，运行负荷在</w:t>
            </w:r>
            <w:bookmarkStart w:id="43" w:name="_GoBack"/>
            <w:r>
              <w:rPr>
                <w:rFonts w:hint="eastAsia" w:ascii="Times New Roman" w:hAnsi="Times New Roman" w:eastAsia="宋体" w:cs="Times New Roman"/>
                <w:color w:val="000000" w:themeColor="text1"/>
                <w:sz w:val="24"/>
                <w:szCs w:val="24"/>
                <w:lang w:val="en-US" w:eastAsia="zh-CN"/>
              </w:rPr>
              <w:t>77.6</w:t>
            </w:r>
            <w:r>
              <w:rPr>
                <w:rFonts w:hint="default" w:ascii="Times New Roman" w:hAnsi="Times New Roman" w:eastAsia="宋体" w:cs="Times New Roman"/>
                <w:color w:val="000000" w:themeColor="text1"/>
                <w:sz w:val="24"/>
                <w:szCs w:val="24"/>
                <w:lang w:val="en-US" w:eastAsia="zh-CN"/>
              </w:rPr>
              <w:t>%~</w:t>
            </w:r>
            <w:r>
              <w:rPr>
                <w:rFonts w:hint="eastAsia" w:ascii="Times New Roman" w:hAnsi="Times New Roman" w:eastAsia="宋体" w:cs="Times New Roman"/>
                <w:color w:val="000000" w:themeColor="text1"/>
                <w:sz w:val="24"/>
                <w:szCs w:val="24"/>
                <w:lang w:val="en-US" w:eastAsia="zh-CN"/>
              </w:rPr>
              <w:t>79.1</w:t>
            </w:r>
            <w:r>
              <w:rPr>
                <w:rFonts w:hint="default" w:ascii="Times New Roman" w:hAnsi="Times New Roman" w:eastAsia="宋体" w:cs="Times New Roman"/>
                <w:color w:val="000000" w:themeColor="text1"/>
                <w:sz w:val="24"/>
                <w:szCs w:val="24"/>
                <w:lang w:val="en-US" w:eastAsia="zh-CN"/>
              </w:rPr>
              <w:t>%</w:t>
            </w:r>
            <w:bookmarkEnd w:id="43"/>
            <w:r>
              <w:rPr>
                <w:rFonts w:hint="default" w:ascii="Times New Roman" w:hAnsi="Times New Roman" w:eastAsia="宋体" w:cs="Times New Roman"/>
                <w:color w:val="000000" w:themeColor="text1"/>
                <w:sz w:val="24"/>
                <w:szCs w:val="24"/>
                <w:lang w:val="en-US" w:eastAsia="zh-CN"/>
              </w:rPr>
              <w:t>之间</w:t>
            </w: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具体内容见下表</w:t>
            </w:r>
            <w:r>
              <w:rPr>
                <w:rFonts w:hint="default" w:ascii="Times New Roman" w:hAnsi="Times New Roman" w:eastAsia="宋体" w:cs="Times New Roman"/>
                <w:color w:val="000000" w:themeColor="text1"/>
                <w:sz w:val="24"/>
                <w:szCs w:val="24"/>
                <w:lang w:val="en-US" w:eastAsia="zh-CN"/>
              </w:rPr>
              <w:t>。</w:t>
            </w:r>
          </w:p>
          <w:p>
            <w:pPr>
              <w:pStyle w:val="2"/>
              <w:ind w:left="439" w:leftChars="0" w:hanging="439" w:hangingChars="183"/>
              <w:jc w:val="center"/>
              <w:rPr>
                <w:rFonts w:hint="eastAsia"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表7-1   验收期间工况汇总表</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69"/>
              <w:gridCol w:w="2097"/>
              <w:gridCol w:w="2571"/>
              <w:gridCol w:w="18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769"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监测日期</w:t>
                  </w:r>
                </w:p>
              </w:tc>
              <w:tc>
                <w:tcPr>
                  <w:tcW w:w="2097"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设计</w:t>
                  </w:r>
                  <w:r>
                    <w:rPr>
                      <w:rFonts w:hint="eastAsia" w:cs="Times New Roman"/>
                      <w:color w:val="000000" w:themeColor="text1"/>
                      <w:sz w:val="21"/>
                      <w:szCs w:val="21"/>
                      <w:lang w:val="en-US" w:eastAsia="zh-CN"/>
                    </w:rPr>
                    <w:t>储运</w:t>
                  </w:r>
                  <w:r>
                    <w:rPr>
                      <w:rFonts w:hint="default" w:ascii="Times New Roman" w:hAnsi="Times New Roman" w:eastAsia="宋体" w:cs="Times New Roman"/>
                      <w:color w:val="000000" w:themeColor="text1"/>
                      <w:sz w:val="21"/>
                      <w:szCs w:val="21"/>
                      <w:lang w:val="en-US" w:eastAsia="zh-CN"/>
                    </w:rPr>
                    <w:t>负荷</w:t>
                  </w:r>
                </w:p>
              </w:tc>
              <w:tc>
                <w:tcPr>
                  <w:tcW w:w="2571"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实际</w:t>
                  </w:r>
                  <w:r>
                    <w:rPr>
                      <w:rFonts w:hint="default" w:ascii="Times New Roman" w:hAnsi="Times New Roman" w:eastAsia="宋体" w:cs="Times New Roman"/>
                      <w:color w:val="000000" w:themeColor="text1"/>
                      <w:sz w:val="21"/>
                      <w:szCs w:val="21"/>
                      <w:lang w:val="en-US" w:eastAsia="zh-CN"/>
                    </w:rPr>
                    <w:t>运行负荷</w:t>
                  </w:r>
                </w:p>
              </w:tc>
              <w:tc>
                <w:tcPr>
                  <w:tcW w:w="1869"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运行</w:t>
                  </w:r>
                  <w:r>
                    <w:rPr>
                      <w:rFonts w:hint="default" w:ascii="Times New Roman" w:hAnsi="Times New Roman" w:eastAsia="宋体" w:cs="Times New Roman"/>
                      <w:color w:val="000000" w:themeColor="text1"/>
                      <w:sz w:val="21"/>
                      <w:szCs w:val="21"/>
                    </w:rPr>
                    <w:t>负荷率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769"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2022.7.26</w:t>
                  </w:r>
                </w:p>
              </w:tc>
              <w:tc>
                <w:tcPr>
                  <w:tcW w:w="2097" w:type="dxa"/>
                  <w:vMerge w:val="restart"/>
                  <w:noWrap w:val="0"/>
                  <w:tcMar>
                    <w:left w:w="28" w:type="dxa"/>
                    <w:right w:w="28" w:type="dxa"/>
                  </w:tcMar>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2400t/d</w:t>
                  </w:r>
                </w:p>
              </w:tc>
              <w:tc>
                <w:tcPr>
                  <w:tcW w:w="2571"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1862</w:t>
                  </w:r>
                  <w:r>
                    <w:rPr>
                      <w:rFonts w:hint="default" w:ascii="Times New Roman" w:hAnsi="Times New Roman" w:eastAsia="宋体" w:cs="Times New Roman"/>
                      <w:color w:val="000000" w:themeColor="text1"/>
                      <w:sz w:val="21"/>
                      <w:szCs w:val="21"/>
                      <w:lang w:val="en-US" w:eastAsia="zh-CN"/>
                    </w:rPr>
                    <w:t>t/d</w:t>
                  </w:r>
                </w:p>
              </w:tc>
              <w:tc>
                <w:tcPr>
                  <w:tcW w:w="1869"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77.6</w:t>
                  </w:r>
                  <w:r>
                    <w:rPr>
                      <w:rFonts w:hint="default" w:ascii="Times New Roman" w:hAnsi="Times New Roman" w:eastAsia="宋体" w:cs="Times New Roman"/>
                      <w:color w:val="000000" w:themeColor="text1"/>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769"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2022.7.27</w:t>
                  </w:r>
                </w:p>
              </w:tc>
              <w:tc>
                <w:tcPr>
                  <w:tcW w:w="2097" w:type="dxa"/>
                  <w:vMerge w:val="continue"/>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rPr>
                  </w:pPr>
                </w:p>
              </w:tc>
              <w:tc>
                <w:tcPr>
                  <w:tcW w:w="2571"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1899</w:t>
                  </w:r>
                  <w:r>
                    <w:rPr>
                      <w:rFonts w:hint="default" w:ascii="Times New Roman" w:hAnsi="Times New Roman" w:eastAsia="宋体" w:cs="Times New Roman"/>
                      <w:color w:val="000000" w:themeColor="text1"/>
                      <w:sz w:val="21"/>
                      <w:szCs w:val="21"/>
                      <w:lang w:val="en-US" w:eastAsia="zh-CN"/>
                    </w:rPr>
                    <w:t>t/d</w:t>
                  </w:r>
                </w:p>
              </w:tc>
              <w:tc>
                <w:tcPr>
                  <w:tcW w:w="1869" w:type="dxa"/>
                  <w:noWrap w:val="0"/>
                  <w:tcMar>
                    <w:left w:w="28" w:type="dxa"/>
                    <w:right w:w="28" w:type="dxa"/>
                  </w:tcMar>
                  <w:vAlign w:val="center"/>
                </w:tcPr>
                <w:p>
                  <w:pPr>
                    <w:pStyle w:val="73"/>
                    <w:keepNext w:val="0"/>
                    <w:keepLines w:val="0"/>
                    <w:pageBreakBefore w:val="0"/>
                    <w:widowControl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79.1</w:t>
                  </w:r>
                  <w:r>
                    <w:rPr>
                      <w:rFonts w:hint="default" w:ascii="Times New Roman" w:hAnsi="Times New Roman" w:eastAsia="宋体" w:cs="Times New Roman"/>
                      <w:color w:val="000000" w:themeColor="text1"/>
                      <w:sz w:val="21"/>
                      <w:szCs w:val="21"/>
                      <w:lang w:val="en-US" w:eastAsia="zh-CN"/>
                    </w:rPr>
                    <w:t>%</w:t>
                  </w:r>
                </w:p>
              </w:tc>
            </w:tr>
          </w:tbl>
          <w:p>
            <w:pP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6" w:hRule="atLeast"/>
          <w:jc w:val="center"/>
        </w:trPr>
        <w:tc>
          <w:tcPr>
            <w:tcW w:w="8522" w:type="dxa"/>
          </w:tcPr>
          <w:p>
            <w:pPr>
              <w:pStyle w:val="9"/>
            </w:pPr>
            <w:bookmarkStart w:id="41" w:name="_Toc4009324"/>
            <w:r>
              <w:t>7.2污染物排放监测结果：</w:t>
            </w:r>
          </w:p>
          <w:p>
            <w:pPr>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验收检测期间，气象参数及无</w:t>
            </w:r>
            <w:r>
              <w:rPr>
                <w:rFonts w:hint="default" w:ascii="Times New Roman" w:hAnsi="Times New Roman" w:eastAsia="宋体" w:cs="Times New Roman"/>
                <w:sz w:val="24"/>
                <w:szCs w:val="24"/>
              </w:rPr>
              <w:t>组织废气监测结果见表7-</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~表7</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after="0" w:line="36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表7-2 气象参数统计表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178"/>
              <w:gridCol w:w="1247"/>
              <w:gridCol w:w="1218"/>
              <w:gridCol w:w="1250"/>
              <w:gridCol w:w="1034"/>
              <w:gridCol w:w="10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510" w:hRule="atLeast"/>
                <w:jc w:val="center"/>
              </w:trPr>
              <w:tc>
                <w:tcPr>
                  <w:tcW w:w="1515"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采样日期</w:t>
                  </w:r>
                </w:p>
              </w:tc>
              <w:tc>
                <w:tcPr>
                  <w:tcW w:w="750"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气温(℃)</w:t>
                  </w:r>
                </w:p>
              </w:tc>
              <w:tc>
                <w:tcPr>
                  <w:tcW w:w="733"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气压(kPa)</w:t>
                  </w:r>
                </w:p>
              </w:tc>
              <w:tc>
                <w:tcPr>
                  <w:tcW w:w="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风速(m/s)</w:t>
                  </w:r>
                </w:p>
              </w:tc>
              <w:tc>
                <w:tcPr>
                  <w:tcW w:w="62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风向</w:t>
                  </w:r>
                </w:p>
              </w:tc>
              <w:tc>
                <w:tcPr>
                  <w:tcW w:w="625"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总云量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2022.7.26</w:t>
                  </w: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12:08</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28.5</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99.8</w:t>
                  </w:r>
                </w:p>
              </w:tc>
              <w:tc>
                <w:tcPr>
                  <w:tcW w:w="12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SE</w:t>
                  </w:r>
                </w:p>
              </w:tc>
              <w:tc>
                <w:tcPr>
                  <w:tcW w:w="10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w:t>
                  </w:r>
                </w:p>
              </w:tc>
              <w:tc>
                <w:tcPr>
                  <w:tcW w:w="10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多云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13:58</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29.4</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99.8</w:t>
                  </w:r>
                </w:p>
              </w:tc>
              <w:tc>
                <w:tcPr>
                  <w:tcW w:w="12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SE</w:t>
                  </w:r>
                </w:p>
              </w:tc>
              <w:tc>
                <w:tcPr>
                  <w:tcW w:w="10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w:t>
                  </w:r>
                </w:p>
              </w:tc>
              <w:tc>
                <w:tcPr>
                  <w:tcW w:w="10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多云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15:35</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30.7</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99.7</w:t>
                  </w:r>
                </w:p>
              </w:tc>
              <w:tc>
                <w:tcPr>
                  <w:tcW w:w="12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SE</w:t>
                  </w:r>
                </w:p>
              </w:tc>
              <w:tc>
                <w:tcPr>
                  <w:tcW w:w="10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w:t>
                  </w:r>
                </w:p>
              </w:tc>
              <w:tc>
                <w:tcPr>
                  <w:tcW w:w="10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多云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4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2022.7.27</w:t>
                  </w: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10:10</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29.5</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99.8</w:t>
                  </w:r>
                </w:p>
              </w:tc>
              <w:tc>
                <w:tcPr>
                  <w:tcW w:w="12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S</w:t>
                  </w:r>
                </w:p>
              </w:tc>
              <w:tc>
                <w:tcPr>
                  <w:tcW w:w="10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w:t>
                  </w:r>
                </w:p>
              </w:tc>
              <w:tc>
                <w:tcPr>
                  <w:tcW w:w="10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12:07</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31.1</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99.7</w:t>
                  </w:r>
                </w:p>
              </w:tc>
              <w:tc>
                <w:tcPr>
                  <w:tcW w:w="12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S</w:t>
                  </w:r>
                </w:p>
              </w:tc>
              <w:tc>
                <w:tcPr>
                  <w:tcW w:w="10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10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34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p>
              </w:tc>
              <w:tc>
                <w:tcPr>
                  <w:tcW w:w="11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13:05</w:t>
                  </w:r>
                </w:p>
              </w:tc>
              <w:tc>
                <w:tcPr>
                  <w:tcW w:w="124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32.4</w:t>
                  </w:r>
                </w:p>
              </w:tc>
              <w:tc>
                <w:tcPr>
                  <w:tcW w:w="121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99.6</w:t>
                  </w:r>
                </w:p>
              </w:tc>
              <w:tc>
                <w:tcPr>
                  <w:tcW w:w="12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S</w:t>
                  </w:r>
                </w:p>
              </w:tc>
              <w:tc>
                <w:tcPr>
                  <w:tcW w:w="10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w:t>
                  </w:r>
                </w:p>
              </w:tc>
              <w:tc>
                <w:tcPr>
                  <w:tcW w:w="103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晴</w:t>
                  </w:r>
                </w:p>
              </w:tc>
            </w:tr>
          </w:tbl>
          <w:p>
            <w:pPr>
              <w:spacing w:after="0" w:line="360" w:lineRule="auto"/>
              <w:ind w:left="0" w:leftChars="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表7-3无组织颗粒物检测结果表（单位mg/m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p>
          <w:tbl>
            <w:tblPr>
              <w:tblStyle w:val="22"/>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382"/>
              <w:gridCol w:w="1382"/>
              <w:gridCol w:w="1382"/>
              <w:gridCol w:w="1382"/>
              <w:gridCol w:w="13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831"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检测日期</w:t>
                  </w:r>
                </w:p>
              </w:tc>
              <w:tc>
                <w:tcPr>
                  <w:tcW w:w="832" w:type="pc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检测次数</w:t>
                  </w:r>
                </w:p>
              </w:tc>
              <w:tc>
                <w:tcPr>
                  <w:tcW w:w="832" w:type="pct"/>
                  <w:noWrap w:val="0"/>
                  <w:vAlign w:val="center"/>
                </w:tcPr>
                <w:p>
                  <w:pPr>
                    <w:keepNext w:val="0"/>
                    <w:keepLines w:val="0"/>
                    <w:pageBreakBefore w:val="0"/>
                    <w:widowControl/>
                    <w:tabs>
                      <w:tab w:val="left" w:pos="9795"/>
                    </w:tabs>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第1次</w:t>
                  </w:r>
                </w:p>
              </w:tc>
              <w:tc>
                <w:tcPr>
                  <w:tcW w:w="832" w:type="pct"/>
                  <w:noWrap w:val="0"/>
                  <w:vAlign w:val="center"/>
                </w:tcPr>
                <w:p>
                  <w:pPr>
                    <w:keepNext w:val="0"/>
                    <w:keepLines w:val="0"/>
                    <w:pageBreakBefore w:val="0"/>
                    <w:widowControl/>
                    <w:tabs>
                      <w:tab w:val="left" w:pos="9795"/>
                    </w:tabs>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第2次</w:t>
                  </w:r>
                </w:p>
              </w:tc>
              <w:tc>
                <w:tcPr>
                  <w:tcW w:w="832" w:type="pct"/>
                  <w:noWrap w:val="0"/>
                  <w:vAlign w:val="center"/>
                </w:tcPr>
                <w:p>
                  <w:pPr>
                    <w:keepNext w:val="0"/>
                    <w:keepLines w:val="0"/>
                    <w:pageBreakBefore w:val="0"/>
                    <w:widowControl/>
                    <w:tabs>
                      <w:tab w:val="left" w:pos="9795"/>
                    </w:tabs>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第3次</w:t>
                  </w:r>
                </w:p>
              </w:tc>
              <w:tc>
                <w:tcPr>
                  <w:tcW w:w="838" w:type="pct"/>
                  <w:noWrap w:val="0"/>
                  <w:vAlign w:val="center"/>
                </w:tcPr>
                <w:p>
                  <w:pPr>
                    <w:keepNext w:val="0"/>
                    <w:keepLines w:val="0"/>
                    <w:pageBreakBefore w:val="0"/>
                    <w:widowControl/>
                    <w:tabs>
                      <w:tab w:val="left" w:pos="9795"/>
                    </w:tabs>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第4次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0" w:type="dxa"/>
                  <w:vMerge w:val="restar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2022.7.26</w:t>
                  </w:r>
                </w:p>
              </w:tc>
              <w:tc>
                <w:tcPr>
                  <w:tcW w:w="832" w:type="pct"/>
                  <w:noWrap w:val="0"/>
                  <w:vAlign w:val="center"/>
                </w:tcPr>
                <w:p>
                  <w:pPr>
                    <w:keepNext w:val="0"/>
                    <w:keepLines w:val="0"/>
                    <w:pageBreakBefore w:val="0"/>
                    <w:widowControl/>
                    <w:tabs>
                      <w:tab w:val="left" w:pos="9795"/>
                    </w:tabs>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上风向1#</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0.201</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0.184</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0.151</w:t>
                  </w:r>
                </w:p>
              </w:tc>
              <w:tc>
                <w:tcPr>
                  <w:tcW w:w="13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vMerge w:val="continue"/>
                  <w:noWrap w:val="0"/>
                  <w:vAlign w:val="center"/>
                </w:tcPr>
                <w:p>
                  <w:pPr>
                    <w:pStyle w:val="75"/>
                    <w:keepNext w:val="0"/>
                    <w:keepLines w:val="0"/>
                    <w:pageBreakBefore w:val="0"/>
                    <w:widowControl/>
                    <w:kinsoku/>
                    <w:wordWrap/>
                    <w:overflowPunct/>
                    <w:topLinePunct w:val="0"/>
                    <w:autoSpaceDE/>
                    <w:autoSpaceDN/>
                    <w:bidi w:val="0"/>
                    <w:adjustRightInd/>
                    <w:snapToGrid w:val="0"/>
                    <w:spacing w:before="0" w:beforeLines="0" w:after="0" w:afterLines="0" w:line="240" w:lineRule="auto"/>
                    <w:ind w:firstLine="0" w:firstLineChars="0"/>
                    <w:jc w:val="center"/>
                    <w:rPr>
                      <w:rFonts w:hint="default" w:ascii="Times New Roman" w:hAnsi="Times New Roman" w:eastAsia="宋体" w:cs="Times New Roman"/>
                      <w:sz w:val="21"/>
                      <w:szCs w:val="21"/>
                    </w:rPr>
                  </w:pPr>
                </w:p>
              </w:tc>
              <w:tc>
                <w:tcPr>
                  <w:tcW w:w="83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下风向2#</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0.251</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0.218</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0.184</w:t>
                  </w:r>
                </w:p>
              </w:tc>
              <w:tc>
                <w:tcPr>
                  <w:tcW w:w="13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vMerge w:val="continue"/>
                  <w:noWrap w:val="0"/>
                  <w:vAlign w:val="center"/>
                </w:tcPr>
                <w:p>
                  <w:pPr>
                    <w:pStyle w:val="75"/>
                    <w:keepNext w:val="0"/>
                    <w:keepLines w:val="0"/>
                    <w:pageBreakBefore w:val="0"/>
                    <w:widowControl/>
                    <w:kinsoku/>
                    <w:wordWrap/>
                    <w:overflowPunct/>
                    <w:topLinePunct w:val="0"/>
                    <w:autoSpaceDE/>
                    <w:autoSpaceDN/>
                    <w:bidi w:val="0"/>
                    <w:adjustRightInd/>
                    <w:snapToGrid w:val="0"/>
                    <w:spacing w:before="0" w:beforeLines="0" w:after="0" w:afterLines="0" w:line="240" w:lineRule="auto"/>
                    <w:ind w:firstLine="0" w:firstLineChars="0"/>
                    <w:jc w:val="center"/>
                    <w:rPr>
                      <w:rFonts w:hint="default" w:ascii="Times New Roman" w:hAnsi="Times New Roman" w:eastAsia="宋体" w:cs="Times New Roman"/>
                      <w:sz w:val="21"/>
                      <w:szCs w:val="21"/>
                    </w:rPr>
                  </w:pPr>
                </w:p>
              </w:tc>
              <w:tc>
                <w:tcPr>
                  <w:tcW w:w="83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下风向3#</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0.234</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0.201</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0.168</w:t>
                  </w:r>
                </w:p>
              </w:tc>
              <w:tc>
                <w:tcPr>
                  <w:tcW w:w="13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vMerge w:val="continue"/>
                  <w:noWrap w:val="0"/>
                  <w:vAlign w:val="center"/>
                </w:tcPr>
                <w:p>
                  <w:pPr>
                    <w:pStyle w:val="75"/>
                    <w:keepNext w:val="0"/>
                    <w:keepLines w:val="0"/>
                    <w:pageBreakBefore w:val="0"/>
                    <w:widowControl/>
                    <w:kinsoku/>
                    <w:wordWrap/>
                    <w:overflowPunct/>
                    <w:topLinePunct w:val="0"/>
                    <w:autoSpaceDE/>
                    <w:autoSpaceDN/>
                    <w:bidi w:val="0"/>
                    <w:adjustRightInd/>
                    <w:snapToGrid w:val="0"/>
                    <w:spacing w:before="0" w:beforeLines="0" w:after="0" w:afterLines="0" w:line="240" w:lineRule="auto"/>
                    <w:ind w:firstLine="0" w:firstLineChars="0"/>
                    <w:jc w:val="center"/>
                    <w:rPr>
                      <w:rFonts w:hint="default" w:ascii="Times New Roman" w:hAnsi="Times New Roman" w:eastAsia="宋体" w:cs="Times New Roman"/>
                      <w:sz w:val="21"/>
                      <w:szCs w:val="21"/>
                    </w:rPr>
                  </w:pPr>
                </w:p>
              </w:tc>
              <w:tc>
                <w:tcPr>
                  <w:tcW w:w="83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下风向4#</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0.285</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0.234</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0.218</w:t>
                  </w:r>
                </w:p>
              </w:tc>
              <w:tc>
                <w:tcPr>
                  <w:tcW w:w="13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0" w:type="dxa"/>
                  <w:vMerge w:val="restart"/>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2022.7.27</w:t>
                  </w:r>
                </w:p>
              </w:tc>
              <w:tc>
                <w:tcPr>
                  <w:tcW w:w="832" w:type="pct"/>
                  <w:noWrap w:val="0"/>
                  <w:vAlign w:val="center"/>
                </w:tcPr>
                <w:p>
                  <w:pPr>
                    <w:keepNext w:val="0"/>
                    <w:keepLines w:val="0"/>
                    <w:pageBreakBefore w:val="0"/>
                    <w:widowControl/>
                    <w:tabs>
                      <w:tab w:val="left" w:pos="9795"/>
                    </w:tabs>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上风向1#</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0.235</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0.251</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0.268</w:t>
                  </w:r>
                </w:p>
              </w:tc>
              <w:tc>
                <w:tcPr>
                  <w:tcW w:w="13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vMerge w:val="continue"/>
                  <w:noWrap w:val="0"/>
                  <w:vAlign w:val="center"/>
                </w:tcPr>
                <w:p>
                  <w:pPr>
                    <w:pStyle w:val="75"/>
                    <w:keepNext w:val="0"/>
                    <w:keepLines w:val="0"/>
                    <w:pageBreakBefore w:val="0"/>
                    <w:widowControl/>
                    <w:kinsoku/>
                    <w:wordWrap/>
                    <w:overflowPunct/>
                    <w:topLinePunct w:val="0"/>
                    <w:autoSpaceDE/>
                    <w:autoSpaceDN/>
                    <w:bidi w:val="0"/>
                    <w:adjustRightInd/>
                    <w:snapToGrid w:val="0"/>
                    <w:spacing w:before="0" w:beforeLines="0" w:after="0" w:afterLines="0" w:line="240" w:lineRule="auto"/>
                    <w:ind w:firstLine="0" w:firstLineChars="0"/>
                    <w:jc w:val="center"/>
                    <w:rPr>
                      <w:rFonts w:hint="default" w:ascii="Times New Roman" w:hAnsi="Times New Roman" w:eastAsia="宋体" w:cs="Times New Roman"/>
                      <w:sz w:val="21"/>
                      <w:szCs w:val="21"/>
                    </w:rPr>
                  </w:pPr>
                </w:p>
              </w:tc>
              <w:tc>
                <w:tcPr>
                  <w:tcW w:w="83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下风向2#</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0.285</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0.285</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0.352</w:t>
                  </w:r>
                </w:p>
              </w:tc>
              <w:tc>
                <w:tcPr>
                  <w:tcW w:w="13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vMerge w:val="continue"/>
                  <w:noWrap w:val="0"/>
                  <w:vAlign w:val="center"/>
                </w:tcPr>
                <w:p>
                  <w:pPr>
                    <w:pStyle w:val="75"/>
                    <w:keepNext w:val="0"/>
                    <w:keepLines w:val="0"/>
                    <w:pageBreakBefore w:val="0"/>
                    <w:widowControl/>
                    <w:kinsoku/>
                    <w:wordWrap/>
                    <w:overflowPunct/>
                    <w:topLinePunct w:val="0"/>
                    <w:autoSpaceDE/>
                    <w:autoSpaceDN/>
                    <w:bidi w:val="0"/>
                    <w:adjustRightInd/>
                    <w:snapToGrid w:val="0"/>
                    <w:spacing w:before="0" w:beforeLines="0" w:after="0" w:afterLines="0" w:line="240" w:lineRule="auto"/>
                    <w:ind w:firstLine="0" w:firstLineChars="0"/>
                    <w:jc w:val="center"/>
                    <w:rPr>
                      <w:rFonts w:hint="default" w:ascii="Times New Roman" w:hAnsi="Times New Roman" w:eastAsia="宋体" w:cs="Times New Roman"/>
                      <w:sz w:val="21"/>
                      <w:szCs w:val="21"/>
                    </w:rPr>
                  </w:pPr>
                </w:p>
              </w:tc>
              <w:tc>
                <w:tcPr>
                  <w:tcW w:w="83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下风向3#</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0.302</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0.268</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0.318</w:t>
                  </w:r>
                </w:p>
              </w:tc>
              <w:tc>
                <w:tcPr>
                  <w:tcW w:w="13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vMerge w:val="continue"/>
                  <w:noWrap w:val="0"/>
                  <w:vAlign w:val="center"/>
                </w:tcPr>
                <w:p>
                  <w:pPr>
                    <w:pStyle w:val="75"/>
                    <w:keepNext w:val="0"/>
                    <w:keepLines w:val="0"/>
                    <w:pageBreakBefore w:val="0"/>
                    <w:widowControl/>
                    <w:kinsoku/>
                    <w:wordWrap/>
                    <w:overflowPunct/>
                    <w:topLinePunct w:val="0"/>
                    <w:autoSpaceDE/>
                    <w:autoSpaceDN/>
                    <w:bidi w:val="0"/>
                    <w:adjustRightInd/>
                    <w:snapToGrid w:val="0"/>
                    <w:spacing w:before="0" w:beforeLines="0" w:after="0" w:afterLines="0" w:line="240" w:lineRule="auto"/>
                    <w:ind w:firstLine="0" w:firstLineChars="0"/>
                    <w:jc w:val="center"/>
                    <w:rPr>
                      <w:rFonts w:hint="default" w:ascii="Times New Roman" w:hAnsi="Times New Roman" w:eastAsia="宋体" w:cs="Times New Roman"/>
                      <w:sz w:val="21"/>
                      <w:szCs w:val="21"/>
                    </w:rPr>
                  </w:pPr>
                </w:p>
              </w:tc>
              <w:tc>
                <w:tcPr>
                  <w:tcW w:w="832" w:type="pc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下风向4#</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0.318</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0.301</w:t>
                  </w:r>
                </w:p>
              </w:tc>
              <w:tc>
                <w:tcPr>
                  <w:tcW w:w="1382"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0.335</w:t>
                  </w:r>
                </w:p>
              </w:tc>
              <w:tc>
                <w:tcPr>
                  <w:tcW w:w="1395" w:type="dxa"/>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noWrap w:val="0"/>
                  <w:vAlign w:val="center"/>
                </w:tcPr>
                <w:p>
                  <w:pPr>
                    <w:pStyle w:val="75"/>
                    <w:keepNext w:val="0"/>
                    <w:keepLines w:val="0"/>
                    <w:pageBreakBefore w:val="0"/>
                    <w:widowControl/>
                    <w:kinsoku/>
                    <w:wordWrap/>
                    <w:overflowPunct/>
                    <w:topLinePunct w:val="0"/>
                    <w:autoSpaceDE/>
                    <w:autoSpaceDN/>
                    <w:bidi w:val="0"/>
                    <w:adjustRightInd/>
                    <w:snapToGrid w:val="0"/>
                    <w:spacing w:before="0" w:beforeLines="0" w:after="0" w:after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最大值</w:t>
                  </w:r>
                </w:p>
              </w:tc>
              <w:tc>
                <w:tcPr>
                  <w:tcW w:w="4168" w:type="pct"/>
                  <w:gridSpan w:val="5"/>
                  <w:noWrap w:val="0"/>
                  <w:vAlign w:val="center"/>
                </w:tcPr>
                <w:p>
                  <w:pPr>
                    <w:keepNext w:val="0"/>
                    <w:keepLines w:val="0"/>
                    <w:pageBreakBefore w:val="0"/>
                    <w:widowControl/>
                    <w:kinsoku/>
                    <w:wordWrap/>
                    <w:overflowPunct/>
                    <w:topLinePunct w:val="0"/>
                    <w:autoSpaceDE/>
                    <w:autoSpaceDN/>
                    <w:bidi w:val="0"/>
                    <w:snapToGrid w:val="0"/>
                    <w:spacing w:after="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1" w:type="pct"/>
                  <w:noWrap w:val="0"/>
                  <w:vAlign w:val="center"/>
                </w:tcPr>
                <w:p>
                  <w:pPr>
                    <w:pStyle w:val="75"/>
                    <w:keepNext w:val="0"/>
                    <w:keepLines w:val="0"/>
                    <w:pageBreakBefore w:val="0"/>
                    <w:widowControl/>
                    <w:kinsoku/>
                    <w:wordWrap/>
                    <w:overflowPunct/>
                    <w:topLinePunct w:val="0"/>
                    <w:autoSpaceDE/>
                    <w:autoSpaceDN/>
                    <w:bidi w:val="0"/>
                    <w:adjustRightInd/>
                    <w:snapToGrid w:val="0"/>
                    <w:spacing w:before="0" w:beforeLines="0" w:after="0" w:after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标准限值</w:t>
                  </w:r>
                </w:p>
              </w:tc>
              <w:tc>
                <w:tcPr>
                  <w:tcW w:w="4168" w:type="pct"/>
                  <w:gridSpan w:val="5"/>
                  <w:noWrap w:val="0"/>
                  <w:vAlign w:val="center"/>
                </w:tcPr>
                <w:p>
                  <w:pPr>
                    <w:pStyle w:val="75"/>
                    <w:keepNext w:val="0"/>
                    <w:keepLines w:val="0"/>
                    <w:pageBreakBefore w:val="0"/>
                    <w:widowControl/>
                    <w:kinsoku/>
                    <w:wordWrap/>
                    <w:overflowPunct/>
                    <w:topLinePunct w:val="0"/>
                    <w:autoSpaceDE/>
                    <w:autoSpaceDN/>
                    <w:bidi w:val="0"/>
                    <w:adjustRightInd/>
                    <w:snapToGrid w:val="0"/>
                    <w:spacing w:before="0" w:beforeLines="0" w:after="0" w:after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bl>
          <w:p>
            <w:pPr>
              <w:spacing w:after="0" w:line="360" w:lineRule="auto"/>
              <w:ind w:firstLine="480" w:firstLineChars="200"/>
              <w:rPr>
                <w:rFonts w:hint="default"/>
              </w:rPr>
            </w:pPr>
            <w:r>
              <w:rPr>
                <w:rFonts w:hint="default" w:ascii="Times New Roman" w:hAnsi="Times New Roman" w:eastAsia="宋体" w:cs="Times New Roman"/>
                <w:sz w:val="24"/>
                <w:szCs w:val="24"/>
              </w:rPr>
              <w:t>监测结果表明，验收监测期间，</w:t>
            </w:r>
            <w:r>
              <w:rPr>
                <w:rFonts w:hint="default" w:ascii="Times New Roman" w:hAnsi="Times New Roman" w:eastAsia="宋体" w:cs="Times New Roman"/>
                <w:sz w:val="24"/>
                <w:szCs w:val="24"/>
                <w:lang w:eastAsia="zh-CN"/>
              </w:rPr>
              <w:t>无组织排放颗粒物最大值为</w:t>
            </w:r>
            <w:r>
              <w:rPr>
                <w:rFonts w:hint="default" w:ascii="Times New Roman" w:hAnsi="Times New Roman" w:eastAsia="宋体" w:cs="Times New Roman"/>
                <w:sz w:val="24"/>
                <w:szCs w:val="24"/>
                <w:lang w:val="en-US" w:eastAsia="zh-CN"/>
              </w:rPr>
              <w:t>0.352mg/m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满足《大气污染物综合排放标准》（GB 16297-1996）</w:t>
            </w:r>
            <w:r>
              <w:rPr>
                <w:rFonts w:hint="default" w:ascii="Times New Roman" w:hAnsi="Times New Roman" w:eastAsia="宋体" w:cs="Times New Roman"/>
                <w:sz w:val="24"/>
                <w:szCs w:val="24"/>
                <w:lang w:val="en-US" w:eastAsia="zh-CN"/>
              </w:rPr>
              <w:t>表2无组织排放监控浓度</w:t>
            </w:r>
            <w:r>
              <w:rPr>
                <w:rFonts w:hint="default" w:ascii="Times New Roman" w:hAnsi="Times New Roman" w:eastAsia="宋体" w:cs="Times New Roman"/>
                <w:sz w:val="24"/>
                <w:szCs w:val="24"/>
              </w:rPr>
              <w:t>限值要求。</w:t>
            </w: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tc>
      </w:tr>
      <w:bookmarkEnd w:id="41"/>
    </w:tbl>
    <w:p>
      <w:pPr>
        <w:spacing w:after="0" w:line="360" w:lineRule="auto"/>
        <w:rPr>
          <w:rFonts w:eastAsia="仿宋_GB2312"/>
          <w:b/>
          <w:color w:val="FF0000"/>
          <w:sz w:val="21"/>
          <w:szCs w:val="21"/>
        </w:rPr>
        <w:sectPr>
          <w:pgSz w:w="11906" w:h="16838"/>
          <w:pgMar w:top="1440" w:right="1803" w:bottom="1440" w:left="1803" w:header="708" w:footer="709" w:gutter="0"/>
          <w:pgBorders>
            <w:top w:val="none" w:sz="0" w:space="0"/>
            <w:left w:val="none" w:sz="0" w:space="0"/>
            <w:bottom w:val="none" w:sz="0" w:space="0"/>
            <w:right w:val="none" w:sz="0" w:space="0"/>
          </w:pgBorders>
          <w:cols w:space="0" w:num="1"/>
          <w:rtlGutter w:val="0"/>
          <w:docGrid w:linePitch="360" w:charSpace="0"/>
        </w:sectPr>
      </w:pPr>
    </w:p>
    <w:p>
      <w:pPr>
        <w:pStyle w:val="8"/>
        <w:rPr>
          <w:color w:val="000000" w:themeColor="text1"/>
        </w:rPr>
      </w:pPr>
      <w:bookmarkStart w:id="42" w:name="_Toc4009325"/>
      <w:r>
        <w:rPr>
          <w:color w:val="000000" w:themeColor="text1"/>
        </w:rPr>
        <w:t>表</w:t>
      </w:r>
      <w:r>
        <w:rPr>
          <w:rFonts w:hint="eastAsia"/>
          <w:color w:val="000000" w:themeColor="text1"/>
        </w:rPr>
        <w:t>八、验收监测结论</w:t>
      </w:r>
      <w:bookmarkEnd w:id="42"/>
    </w:p>
    <w:tbl>
      <w:tblPr>
        <w:tblStyle w:val="2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9" w:hRule="atLeast"/>
          <w:jc w:val="center"/>
        </w:trPr>
        <w:tc>
          <w:tcPr>
            <w:tcW w:w="8924" w:type="dxa"/>
          </w:tcPr>
          <w:p>
            <w:pPr>
              <w:spacing w:after="0" w:line="360" w:lineRule="auto"/>
              <w:ind w:firstLine="482"/>
              <w:rPr>
                <w:rFonts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山东潍焦集团薛城能源有限公司</w:t>
            </w:r>
            <w:r>
              <w:rPr>
                <w:rFonts w:ascii="Times New Roman" w:hAnsi="Times New Roman" w:eastAsia="宋体" w:cs="Times New Roman"/>
                <w:color w:val="000000" w:themeColor="text1"/>
                <w:sz w:val="24"/>
                <w:szCs w:val="24"/>
              </w:rPr>
              <w:t>位于</w:t>
            </w:r>
            <w:r>
              <w:rPr>
                <w:rFonts w:hint="eastAsia" w:ascii="Times New Roman" w:hAnsi="Times New Roman" w:eastAsia="宋体" w:cs="Times New Roman"/>
                <w:color w:val="000000" w:themeColor="text1"/>
                <w:sz w:val="24"/>
                <w:szCs w:val="24"/>
              </w:rPr>
              <w:t>枣庄市薛城区薛城化工产业园</w:t>
            </w:r>
            <w:r>
              <w:rPr>
                <w:rFonts w:ascii="Times New Roman" w:hAnsi="Times New Roman" w:eastAsia="宋体" w:cs="Times New Roman"/>
                <w:color w:val="000000" w:themeColor="text1"/>
                <w:sz w:val="24"/>
                <w:szCs w:val="24"/>
              </w:rPr>
              <w:t>，投资</w:t>
            </w:r>
            <w:r>
              <w:rPr>
                <w:rFonts w:hint="eastAsia" w:ascii="宋体" w:hAnsi="宋体" w:eastAsia="宋体"/>
                <w:color w:val="000000" w:themeColor="text1"/>
                <w:sz w:val="24"/>
                <w:szCs w:val="24"/>
                <w:lang w:val="en-US" w:eastAsia="zh-CN"/>
              </w:rPr>
              <w:t>3858</w:t>
            </w:r>
            <w:r>
              <w:rPr>
                <w:rFonts w:hint="eastAsia" w:ascii="Times New Roman" w:hAnsi="Times New Roman" w:eastAsia="宋体" w:cs="Times New Roman"/>
                <w:color w:val="000000" w:themeColor="text1"/>
                <w:sz w:val="24"/>
                <w:szCs w:val="24"/>
              </w:rPr>
              <w:t>万元建设</w:t>
            </w:r>
            <w:r>
              <w:rPr>
                <w:rFonts w:hint="eastAsia" w:ascii="Times New Roman" w:hAnsi="Times New Roman" w:eastAsia="宋体" w:cs="Times New Roman"/>
                <w:color w:val="000000" w:themeColor="text1"/>
                <w:sz w:val="24"/>
                <w:szCs w:val="24"/>
                <w:lang w:eastAsia="zh-CN"/>
              </w:rPr>
              <w:t>焦场封闭项目</w:t>
            </w:r>
            <w:r>
              <w:rPr>
                <w:rFonts w:hint="eastAsia" w:ascii="Times New Roman" w:hAnsi="Times New Roman" w:eastAsia="宋体" w:cs="Times New Roman"/>
                <w:color w:val="000000" w:themeColor="text1"/>
                <w:sz w:val="24"/>
                <w:szCs w:val="24"/>
              </w:rPr>
              <w:t>，本项目为</w:t>
            </w:r>
            <w:r>
              <w:rPr>
                <w:rFonts w:hint="default" w:ascii="Times New Roman" w:hAnsi="Times New Roman" w:eastAsia="宋体" w:cs="Times New Roman"/>
                <w:color w:val="000000" w:themeColor="text1"/>
                <w:sz w:val="24"/>
                <w:szCs w:val="24"/>
                <w:lang w:eastAsia="zh-CN"/>
              </w:rPr>
              <w:t>新建</w:t>
            </w:r>
            <w:r>
              <w:rPr>
                <w:rFonts w:hint="default" w:ascii="Times New Roman" w:hAnsi="Times New Roman" w:eastAsia="宋体" w:cs="Times New Roman"/>
                <w:color w:val="000000" w:themeColor="text1"/>
                <w:sz w:val="24"/>
                <w:szCs w:val="24"/>
              </w:rPr>
              <w:t>项目。</w:t>
            </w:r>
            <w:r>
              <w:rPr>
                <w:rFonts w:hint="default" w:ascii="Times New Roman" w:hAnsi="Times New Roman" w:eastAsia="宋体" w:cs="Times New Roman"/>
                <w:color w:val="000000" w:themeColor="text1"/>
                <w:sz w:val="24"/>
                <w:szCs w:val="24"/>
                <w:lang w:val="en-US" w:eastAsia="zh-CN"/>
              </w:rPr>
              <w:t>通过新建穹顶网架结构将焦场封闭，封闭尺寸</w:t>
            </w:r>
            <w:r>
              <w:rPr>
                <w:rFonts w:hint="eastAsia" w:ascii="Times New Roman" w:hAnsi="Times New Roman" w:eastAsia="宋体" w:cs="Times New Roman"/>
                <w:color w:val="000000" w:themeColor="text1"/>
                <w:sz w:val="24"/>
                <w:szCs w:val="24"/>
                <w:lang w:val="en-US" w:eastAsia="zh-CN"/>
              </w:rPr>
              <w:t>为</w:t>
            </w:r>
            <w:r>
              <w:rPr>
                <w:rFonts w:hint="default" w:ascii="Times New Roman" w:hAnsi="Times New Roman" w:eastAsia="宋体" w:cs="Times New Roman"/>
                <w:color w:val="000000" w:themeColor="text1"/>
                <w:sz w:val="24"/>
                <w:szCs w:val="24"/>
                <w:lang w:val="en-US" w:eastAsia="zh-CN"/>
              </w:rPr>
              <w:t>327米×107米，封闭面积约36000平方米，以解决大风天气焦场的扬尘问题，提升焦场的环境与空气质量。</w:t>
            </w:r>
            <w:r>
              <w:rPr>
                <w:rFonts w:ascii="Times New Roman" w:hAnsi="Times New Roman" w:eastAsia="宋体" w:cs="Times New Roman"/>
                <w:color w:val="000000" w:themeColor="text1"/>
                <w:sz w:val="24"/>
                <w:szCs w:val="24"/>
              </w:rPr>
              <w:t>目前生产负荷稳定，环保设施运行正常，达到验收要求。</w:t>
            </w:r>
          </w:p>
          <w:p>
            <w:pPr>
              <w:spacing w:after="0" w:line="360" w:lineRule="auto"/>
              <w:ind w:firstLine="403"/>
              <w:rPr>
                <w:rFonts w:ascii="Times New Roman" w:hAnsi="Times New Roman" w:eastAsia="宋体" w:cs="Times New Roman"/>
                <w:snapToGrid w:val="0"/>
                <w:color w:val="000000" w:themeColor="text1"/>
                <w:sz w:val="24"/>
                <w:szCs w:val="24"/>
              </w:rPr>
            </w:pPr>
            <w:r>
              <w:rPr>
                <w:rFonts w:ascii="Times New Roman" w:hAnsi="Times New Roman" w:eastAsia="宋体" w:cs="Times New Roman"/>
                <w:snapToGrid w:val="0"/>
                <w:color w:val="000000" w:themeColor="text1"/>
                <w:sz w:val="24"/>
                <w:szCs w:val="24"/>
              </w:rPr>
              <w:t>8.1污染物排放监测结果</w:t>
            </w:r>
          </w:p>
          <w:p>
            <w:pPr>
              <w:spacing w:after="0" w:line="360" w:lineRule="auto"/>
              <w:ind w:firstLine="480" w:firstLineChars="200"/>
              <w:rPr>
                <w:color w:val="000000" w:themeColor="text1"/>
                <w:sz w:val="24"/>
                <w:szCs w:val="24"/>
              </w:rPr>
            </w:pPr>
            <w:r>
              <w:rPr>
                <w:rFonts w:hint="default" w:ascii="Times New Roman" w:hAnsi="Times New Roman" w:eastAsia="宋体" w:cs="Times New Roman"/>
                <w:color w:val="000000" w:themeColor="text1"/>
                <w:sz w:val="24"/>
                <w:szCs w:val="24"/>
              </w:rPr>
              <w:t>验收监测期间，</w:t>
            </w:r>
            <w:r>
              <w:rPr>
                <w:rFonts w:hint="eastAsia" w:ascii="Times New Roman" w:hAnsi="Times New Roman" w:eastAsia="宋体" w:cs="Times New Roman"/>
                <w:color w:val="000000" w:themeColor="text1"/>
                <w:sz w:val="24"/>
                <w:szCs w:val="24"/>
                <w:lang w:eastAsia="zh-CN"/>
              </w:rPr>
              <w:t>无组织排放颗粒物最大值为</w:t>
            </w:r>
            <w:r>
              <w:rPr>
                <w:rFonts w:hint="eastAsia" w:ascii="Times New Roman" w:hAnsi="Times New Roman" w:eastAsia="宋体" w:cs="Times New Roman"/>
                <w:color w:val="000000" w:themeColor="text1"/>
                <w:sz w:val="24"/>
                <w:szCs w:val="24"/>
                <w:lang w:val="en-US" w:eastAsia="zh-CN"/>
              </w:rPr>
              <w:t>0.352mg/m</w:t>
            </w:r>
            <w:r>
              <w:rPr>
                <w:rFonts w:hint="default" w:ascii="Times New Roman" w:hAnsi="Times New Roman" w:eastAsia="宋体" w:cs="Times New Roman"/>
                <w:color w:val="000000" w:themeColor="text1"/>
                <w:sz w:val="24"/>
                <w:szCs w:val="24"/>
                <w:vertAlign w:val="superscript"/>
                <w:lang w:val="en-US" w:eastAsia="zh-CN"/>
              </w:rPr>
              <w:t>3</w:t>
            </w:r>
            <w:r>
              <w:rPr>
                <w:rFonts w:hint="eastAsia" w:ascii="Times New Roman" w:hAnsi="Times New Roman" w:eastAsia="宋体" w:cs="Times New Roman"/>
                <w:color w:val="000000" w:themeColor="text1"/>
                <w:sz w:val="24"/>
                <w:szCs w:val="24"/>
                <w:lang w:val="en-US" w:eastAsia="zh-CN"/>
              </w:rPr>
              <w:t>，</w:t>
            </w:r>
            <w:r>
              <w:rPr>
                <w:rFonts w:hint="default" w:ascii="Times New Roman" w:hAnsi="Times New Roman" w:eastAsia="宋体" w:cs="Times New Roman"/>
                <w:color w:val="000000" w:themeColor="text1"/>
                <w:sz w:val="24"/>
                <w:szCs w:val="24"/>
              </w:rPr>
              <w:t>满足</w:t>
            </w:r>
            <w:r>
              <w:rPr>
                <w:rFonts w:hint="eastAsia" w:ascii="Times New Roman" w:hAnsi="Times New Roman" w:eastAsia="宋体" w:cs="Times New Roman"/>
                <w:color w:val="000000" w:themeColor="text1"/>
                <w:sz w:val="24"/>
                <w:szCs w:val="24"/>
              </w:rPr>
              <w:t>《大气污染物综合排放标准》（GB 16297-1996）</w:t>
            </w:r>
            <w:r>
              <w:rPr>
                <w:rFonts w:hint="eastAsia" w:ascii="Times New Roman" w:hAnsi="Times New Roman" w:eastAsia="宋体" w:cs="Times New Roman"/>
                <w:color w:val="000000" w:themeColor="text1"/>
                <w:sz w:val="24"/>
                <w:szCs w:val="24"/>
                <w:lang w:val="en-US" w:eastAsia="zh-CN"/>
              </w:rPr>
              <w:t>表2无组织排放监控浓度</w:t>
            </w:r>
            <w:r>
              <w:rPr>
                <w:rFonts w:hint="eastAsia" w:ascii="Times New Roman" w:hAnsi="Times New Roman" w:eastAsia="宋体" w:cs="Times New Roman"/>
                <w:color w:val="000000" w:themeColor="text1"/>
                <w:sz w:val="24"/>
                <w:szCs w:val="24"/>
              </w:rPr>
              <w:t>限值要求</w:t>
            </w:r>
            <w:r>
              <w:rPr>
                <w:rFonts w:hint="default" w:ascii="Times New Roman" w:hAnsi="Times New Roman" w:eastAsia="宋体" w:cs="Times New Roman"/>
                <w:color w:val="000000" w:themeColor="text1"/>
                <w:sz w:val="24"/>
                <w:szCs w:val="24"/>
              </w:rPr>
              <w:t>。</w:t>
            </w:r>
          </w:p>
          <w:p>
            <w:pPr>
              <w:spacing w:after="0" w:line="360" w:lineRule="auto"/>
              <w:ind w:firstLine="480" w:firstLineChars="200"/>
              <w:rPr>
                <w:rFonts w:eastAsia="仿宋_GB2312"/>
                <w:color w:val="FF0000"/>
                <w:sz w:val="24"/>
                <w:szCs w:val="24"/>
              </w:rPr>
            </w:pPr>
            <w:r>
              <w:rPr>
                <w:rFonts w:ascii="Times New Roman" w:hAnsi="Times New Roman" w:eastAsia="宋体" w:cs="Times New Roman"/>
                <w:color w:val="000000" w:themeColor="text1"/>
                <w:sz w:val="24"/>
                <w:szCs w:val="24"/>
              </w:rPr>
              <w:t xml:space="preserve">   综上所述，项目做到了治污设施与主体工程同时设计、同时施工、同时投产使用的三同时制度，各主体工程及治污设施均运行正常，能够做到污染物达标排放，基本落实了环评</w:t>
            </w:r>
            <w:r>
              <w:rPr>
                <w:rFonts w:hint="eastAsia" w:ascii="Times New Roman" w:hAnsi="Times New Roman" w:eastAsia="宋体" w:cs="Times New Roman"/>
                <w:color w:val="000000" w:themeColor="text1"/>
                <w:sz w:val="24"/>
                <w:szCs w:val="24"/>
              </w:rPr>
              <w:t>登记</w:t>
            </w:r>
            <w:r>
              <w:rPr>
                <w:rFonts w:ascii="Times New Roman" w:hAnsi="Times New Roman" w:eastAsia="宋体" w:cs="Times New Roman"/>
                <w:color w:val="000000" w:themeColor="text1"/>
                <w:sz w:val="24"/>
                <w:szCs w:val="24"/>
              </w:rPr>
              <w:t>表各项要求。</w:t>
            </w:r>
          </w:p>
        </w:tc>
      </w:tr>
    </w:tbl>
    <w:p>
      <w:pPr>
        <w:spacing w:line="220" w:lineRule="atLeast"/>
        <w:rPr>
          <w:color w:val="FF0000"/>
        </w:rPr>
      </w:pPr>
    </w:p>
    <w:sectPr>
      <w:pgSz w:w="11906" w:h="16838"/>
      <w:pgMar w:top="1440" w:right="1803" w:bottom="1440" w:left="1803" w:header="708" w:footer="709" w:gutter="0"/>
      <w:pgBorders>
        <w:top w:val="none" w:sz="0" w:space="0"/>
        <w:left w:val="none" w:sz="0" w:space="0"/>
        <w:bottom w:val="none" w:sz="0" w:space="0"/>
        <w:right w:val="none" w:sz="0" w:space="0"/>
      </w:pgBorders>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Consolas">
    <w:panose1 w:val="020B0609020204030204"/>
    <w:charset w:val="00"/>
    <w:family w:val="modern"/>
    <w:pitch w:val="default"/>
    <w:sig w:usb0="E10002FF" w:usb1="4000FCFF" w:usb2="00000009" w:usb3="00000000" w:csb0="6000019F" w:csb1="DFD70000"/>
  </w:font>
  <w:font w:name="华文新魏">
    <w:altName w:val="宋体"/>
    <w:panose1 w:val="0201080004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 PAGE   \* MERGEFORMAT </w:instrText>
    </w:r>
    <w:r>
      <w:fldChar w:fldCharType="separate"/>
    </w:r>
    <w:r>
      <w:rPr>
        <w:lang w:val="zh-CN"/>
      </w:rPr>
      <w:t>II</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w:fldChar w:fldCharType="begin"/>
    </w:r>
    <w:r>
      <w:instrText xml:space="preserve"> PAGE   \* MERGEFORMAT </w:instrText>
    </w:r>
    <w:r>
      <w:fldChar w:fldCharType="separate"/>
    </w:r>
    <w:r>
      <w:rPr>
        <w:lang w:val="zh-CN"/>
      </w:rPr>
      <w:t>II</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spacing w:after="0"/>
      <w:rPr>
        <w:rStyle w:val="26"/>
        <w:rFonts w:ascii="宋体" w:hAnsi="宋体"/>
        <w:sz w:val="28"/>
        <w:szCs w:val="28"/>
      </w:rPr>
    </w:pPr>
    <w:r>
      <w:rPr>
        <w:rStyle w:val="26"/>
        <w:rFonts w:hint="eastAsia" w:ascii="宋体" w:hAnsi="宋体"/>
        <w:sz w:val="28"/>
        <w:szCs w:val="28"/>
      </w:rPr>
      <w:t>—</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II</w:t>
    </w:r>
    <w:r>
      <w:rPr>
        <w:rFonts w:ascii="宋体" w:hAnsi="宋体"/>
        <w:sz w:val="26"/>
        <w:szCs w:val="26"/>
      </w:rPr>
      <w:fldChar w:fldCharType="end"/>
    </w:r>
    <w:r>
      <w:rPr>
        <w:rStyle w:val="26"/>
        <w:rFonts w:hint="eastAsia" w:ascii="宋体" w:hAnsi="宋体"/>
        <w:sz w:val="28"/>
        <w:szCs w:val="28"/>
      </w:rPr>
      <w:t>—</w:t>
    </w:r>
  </w:p>
  <w:p>
    <w:pPr>
      <w:pStyle w:val="16"/>
      <w:spacing w:after="0"/>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spacing w:after="0"/>
      <w:rPr>
        <w:rStyle w:val="26"/>
        <w:rFonts w:ascii="宋体" w:hAnsi="宋体"/>
        <w:sz w:val="28"/>
        <w:szCs w:val="28"/>
      </w:rPr>
    </w:pPr>
    <w:r>
      <w:rPr>
        <w:rStyle w:val="26"/>
        <w:rFonts w:hint="eastAsia" w:ascii="宋体" w:hAnsi="宋体"/>
        <w:sz w:val="28"/>
        <w:szCs w:val="28"/>
      </w:rPr>
      <w:t>—</w:t>
    </w:r>
    <w:r>
      <w:rPr>
        <w:rFonts w:ascii="宋体" w:hAnsi="宋体"/>
        <w:sz w:val="26"/>
        <w:szCs w:val="26"/>
      </w:rPr>
      <w:fldChar w:fldCharType="begin"/>
    </w:r>
    <w:r>
      <w:rPr>
        <w:rStyle w:val="26"/>
        <w:rFonts w:ascii="宋体" w:hAnsi="宋体"/>
        <w:sz w:val="26"/>
        <w:szCs w:val="26"/>
      </w:rPr>
      <w:instrText xml:space="preserve">PAGE  </w:instrText>
    </w:r>
    <w:r>
      <w:rPr>
        <w:rFonts w:ascii="宋体" w:hAnsi="宋体"/>
        <w:sz w:val="26"/>
        <w:szCs w:val="26"/>
      </w:rPr>
      <w:fldChar w:fldCharType="separate"/>
    </w:r>
    <w:r>
      <w:rPr>
        <w:rStyle w:val="26"/>
        <w:rFonts w:ascii="宋体" w:hAnsi="宋体"/>
        <w:sz w:val="26"/>
        <w:szCs w:val="26"/>
      </w:rPr>
      <w:t>19</w:t>
    </w:r>
    <w:r>
      <w:rPr>
        <w:rFonts w:ascii="宋体" w:hAnsi="宋体"/>
        <w:sz w:val="26"/>
        <w:szCs w:val="26"/>
      </w:rPr>
      <w:fldChar w:fldCharType="end"/>
    </w:r>
    <w:r>
      <w:rPr>
        <w:rStyle w:val="26"/>
        <w:rFonts w:hint="eastAsia" w:ascii="宋体" w:hAnsi="宋体"/>
        <w:sz w:val="28"/>
        <w:szCs w:val="28"/>
      </w:rPr>
      <w:t>—</w:t>
    </w:r>
  </w:p>
  <w:p>
    <w:pPr>
      <w:pStyle w:val="16"/>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jc w:val="center"/>
      <w:rPr>
        <w:sz w:val="21"/>
        <w:szCs w:val="21"/>
      </w:rPr>
    </w:pPr>
  </w:p>
  <w:p>
    <w:pPr>
      <w:spacing w:after="0"/>
      <w:jc w:val="right"/>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523634"/>
    <w:multiLevelType w:val="singleLevel"/>
    <w:tmpl w:val="C3523634"/>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rawingGridVerticalSpacing w:val="156"/>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NGZlYWQxNjE0MGFiNGMwYjhkN2RlZmQyM2FjMDY4NGMifQ=="/>
  </w:docVars>
  <w:rsids>
    <w:rsidRoot w:val="00D31D50"/>
    <w:rsid w:val="0000084A"/>
    <w:rsid w:val="00001B2E"/>
    <w:rsid w:val="0000238B"/>
    <w:rsid w:val="0000709C"/>
    <w:rsid w:val="00010DEC"/>
    <w:rsid w:val="00011597"/>
    <w:rsid w:val="000121AA"/>
    <w:rsid w:val="000126FC"/>
    <w:rsid w:val="000127DA"/>
    <w:rsid w:val="00012A61"/>
    <w:rsid w:val="00012C2E"/>
    <w:rsid w:val="00013A79"/>
    <w:rsid w:val="000164B0"/>
    <w:rsid w:val="000175D2"/>
    <w:rsid w:val="000204B4"/>
    <w:rsid w:val="00025CFE"/>
    <w:rsid w:val="0003220F"/>
    <w:rsid w:val="000325A9"/>
    <w:rsid w:val="00034ED8"/>
    <w:rsid w:val="000352DF"/>
    <w:rsid w:val="0004140B"/>
    <w:rsid w:val="00041873"/>
    <w:rsid w:val="00044990"/>
    <w:rsid w:val="00044FE2"/>
    <w:rsid w:val="00045985"/>
    <w:rsid w:val="00045B1A"/>
    <w:rsid w:val="000475AD"/>
    <w:rsid w:val="00050610"/>
    <w:rsid w:val="00050FED"/>
    <w:rsid w:val="00051CF2"/>
    <w:rsid w:val="0005494A"/>
    <w:rsid w:val="00055567"/>
    <w:rsid w:val="00057CEE"/>
    <w:rsid w:val="00060719"/>
    <w:rsid w:val="00061AC0"/>
    <w:rsid w:val="00062BD1"/>
    <w:rsid w:val="0006564F"/>
    <w:rsid w:val="000710E6"/>
    <w:rsid w:val="00072532"/>
    <w:rsid w:val="00074D37"/>
    <w:rsid w:val="0007619D"/>
    <w:rsid w:val="000774F3"/>
    <w:rsid w:val="00082904"/>
    <w:rsid w:val="00083F42"/>
    <w:rsid w:val="00086B08"/>
    <w:rsid w:val="00086E14"/>
    <w:rsid w:val="00087D2D"/>
    <w:rsid w:val="0009570C"/>
    <w:rsid w:val="00095D3C"/>
    <w:rsid w:val="00096FAA"/>
    <w:rsid w:val="0009763B"/>
    <w:rsid w:val="000A1D84"/>
    <w:rsid w:val="000A46CA"/>
    <w:rsid w:val="000B15F0"/>
    <w:rsid w:val="000B2826"/>
    <w:rsid w:val="000B2ABF"/>
    <w:rsid w:val="000B6870"/>
    <w:rsid w:val="000B698B"/>
    <w:rsid w:val="000B6C3A"/>
    <w:rsid w:val="000B7025"/>
    <w:rsid w:val="000B7986"/>
    <w:rsid w:val="000B7A2D"/>
    <w:rsid w:val="000C0192"/>
    <w:rsid w:val="000C3C35"/>
    <w:rsid w:val="000C474E"/>
    <w:rsid w:val="000C4907"/>
    <w:rsid w:val="000D2005"/>
    <w:rsid w:val="000D298E"/>
    <w:rsid w:val="000D3443"/>
    <w:rsid w:val="000D3B7A"/>
    <w:rsid w:val="000D3F53"/>
    <w:rsid w:val="000D51C3"/>
    <w:rsid w:val="000D7DA3"/>
    <w:rsid w:val="000E0691"/>
    <w:rsid w:val="000E209A"/>
    <w:rsid w:val="000E299F"/>
    <w:rsid w:val="000E3616"/>
    <w:rsid w:val="000E372C"/>
    <w:rsid w:val="000F0DA9"/>
    <w:rsid w:val="000F1383"/>
    <w:rsid w:val="000F39D5"/>
    <w:rsid w:val="000F4037"/>
    <w:rsid w:val="000F4E9C"/>
    <w:rsid w:val="000F6F9C"/>
    <w:rsid w:val="000F7A45"/>
    <w:rsid w:val="00100699"/>
    <w:rsid w:val="00100A55"/>
    <w:rsid w:val="0010217A"/>
    <w:rsid w:val="001024D7"/>
    <w:rsid w:val="00103E83"/>
    <w:rsid w:val="00104C9B"/>
    <w:rsid w:val="001058AB"/>
    <w:rsid w:val="00106C27"/>
    <w:rsid w:val="00112793"/>
    <w:rsid w:val="00112FC8"/>
    <w:rsid w:val="00113611"/>
    <w:rsid w:val="00113FBD"/>
    <w:rsid w:val="00114145"/>
    <w:rsid w:val="00116C62"/>
    <w:rsid w:val="00123B42"/>
    <w:rsid w:val="001247E2"/>
    <w:rsid w:val="001259DF"/>
    <w:rsid w:val="001303A0"/>
    <w:rsid w:val="0013053F"/>
    <w:rsid w:val="00133DBF"/>
    <w:rsid w:val="00134169"/>
    <w:rsid w:val="001346EB"/>
    <w:rsid w:val="0014118A"/>
    <w:rsid w:val="00142D70"/>
    <w:rsid w:val="00147CA5"/>
    <w:rsid w:val="001536F2"/>
    <w:rsid w:val="00153C0B"/>
    <w:rsid w:val="00155FBE"/>
    <w:rsid w:val="001569C9"/>
    <w:rsid w:val="00160E1A"/>
    <w:rsid w:val="00163467"/>
    <w:rsid w:val="001634FD"/>
    <w:rsid w:val="00163586"/>
    <w:rsid w:val="0016626A"/>
    <w:rsid w:val="00166B92"/>
    <w:rsid w:val="0017108C"/>
    <w:rsid w:val="00171873"/>
    <w:rsid w:val="00172710"/>
    <w:rsid w:val="00174989"/>
    <w:rsid w:val="001753CB"/>
    <w:rsid w:val="00175BAF"/>
    <w:rsid w:val="00175CBB"/>
    <w:rsid w:val="00176D70"/>
    <w:rsid w:val="00177C1D"/>
    <w:rsid w:val="001820C9"/>
    <w:rsid w:val="0018306D"/>
    <w:rsid w:val="00184B42"/>
    <w:rsid w:val="00185640"/>
    <w:rsid w:val="00185FAD"/>
    <w:rsid w:val="00185FD3"/>
    <w:rsid w:val="00190988"/>
    <w:rsid w:val="00190C39"/>
    <w:rsid w:val="00190E7D"/>
    <w:rsid w:val="001942A4"/>
    <w:rsid w:val="00195C21"/>
    <w:rsid w:val="00196CFE"/>
    <w:rsid w:val="00197519"/>
    <w:rsid w:val="001A2390"/>
    <w:rsid w:val="001A52F9"/>
    <w:rsid w:val="001A5A50"/>
    <w:rsid w:val="001B0E3F"/>
    <w:rsid w:val="001B20CE"/>
    <w:rsid w:val="001B5181"/>
    <w:rsid w:val="001B798A"/>
    <w:rsid w:val="001C14DB"/>
    <w:rsid w:val="001C768C"/>
    <w:rsid w:val="001D0718"/>
    <w:rsid w:val="001D0AD7"/>
    <w:rsid w:val="001D4BD4"/>
    <w:rsid w:val="001D6776"/>
    <w:rsid w:val="001E03BF"/>
    <w:rsid w:val="001E1510"/>
    <w:rsid w:val="001E1A14"/>
    <w:rsid w:val="001E418E"/>
    <w:rsid w:val="001E62FA"/>
    <w:rsid w:val="001E7DA3"/>
    <w:rsid w:val="001E7EEE"/>
    <w:rsid w:val="001F4966"/>
    <w:rsid w:val="001F4D13"/>
    <w:rsid w:val="001F7E63"/>
    <w:rsid w:val="002000F0"/>
    <w:rsid w:val="002029B4"/>
    <w:rsid w:val="002029D4"/>
    <w:rsid w:val="0020363B"/>
    <w:rsid w:val="00203BBF"/>
    <w:rsid w:val="0020795A"/>
    <w:rsid w:val="00210747"/>
    <w:rsid w:val="002129DB"/>
    <w:rsid w:val="002137E8"/>
    <w:rsid w:val="00215CEB"/>
    <w:rsid w:val="00216913"/>
    <w:rsid w:val="00217F9C"/>
    <w:rsid w:val="00220D3D"/>
    <w:rsid w:val="002215AE"/>
    <w:rsid w:val="00222743"/>
    <w:rsid w:val="00223E65"/>
    <w:rsid w:val="00224B4D"/>
    <w:rsid w:val="00225349"/>
    <w:rsid w:val="00226CA5"/>
    <w:rsid w:val="00227BB5"/>
    <w:rsid w:val="002324C8"/>
    <w:rsid w:val="002344F8"/>
    <w:rsid w:val="0023742E"/>
    <w:rsid w:val="00237DD8"/>
    <w:rsid w:val="00237F90"/>
    <w:rsid w:val="00237F9D"/>
    <w:rsid w:val="00242B8A"/>
    <w:rsid w:val="00243C80"/>
    <w:rsid w:val="00244361"/>
    <w:rsid w:val="00245F42"/>
    <w:rsid w:val="00250CE6"/>
    <w:rsid w:val="00251B78"/>
    <w:rsid w:val="00252CF6"/>
    <w:rsid w:val="002536C9"/>
    <w:rsid w:val="00257236"/>
    <w:rsid w:val="00260417"/>
    <w:rsid w:val="002611A5"/>
    <w:rsid w:val="002627DD"/>
    <w:rsid w:val="00263A53"/>
    <w:rsid w:val="0026544C"/>
    <w:rsid w:val="002664E4"/>
    <w:rsid w:val="002666BB"/>
    <w:rsid w:val="002678BE"/>
    <w:rsid w:val="0027147E"/>
    <w:rsid w:val="00271892"/>
    <w:rsid w:val="00272C4C"/>
    <w:rsid w:val="00274C79"/>
    <w:rsid w:val="00276435"/>
    <w:rsid w:val="00277A79"/>
    <w:rsid w:val="00281E1E"/>
    <w:rsid w:val="00282728"/>
    <w:rsid w:val="00282AED"/>
    <w:rsid w:val="00282DF7"/>
    <w:rsid w:val="002855A4"/>
    <w:rsid w:val="00286651"/>
    <w:rsid w:val="00286B1C"/>
    <w:rsid w:val="00286F1B"/>
    <w:rsid w:val="002879EF"/>
    <w:rsid w:val="00287D4A"/>
    <w:rsid w:val="00290153"/>
    <w:rsid w:val="00291B4D"/>
    <w:rsid w:val="00291DDD"/>
    <w:rsid w:val="00292BFB"/>
    <w:rsid w:val="00292DE0"/>
    <w:rsid w:val="002949E6"/>
    <w:rsid w:val="00295043"/>
    <w:rsid w:val="00297FEC"/>
    <w:rsid w:val="002A1CE9"/>
    <w:rsid w:val="002A56E3"/>
    <w:rsid w:val="002B1890"/>
    <w:rsid w:val="002B1AC9"/>
    <w:rsid w:val="002B1C47"/>
    <w:rsid w:val="002B1C69"/>
    <w:rsid w:val="002B2613"/>
    <w:rsid w:val="002B6150"/>
    <w:rsid w:val="002B6E80"/>
    <w:rsid w:val="002B6FB1"/>
    <w:rsid w:val="002C6288"/>
    <w:rsid w:val="002C7CBE"/>
    <w:rsid w:val="002D62BD"/>
    <w:rsid w:val="002D6817"/>
    <w:rsid w:val="002E09D4"/>
    <w:rsid w:val="002E0A02"/>
    <w:rsid w:val="002E1601"/>
    <w:rsid w:val="002E1C7E"/>
    <w:rsid w:val="002E1D0F"/>
    <w:rsid w:val="002E203D"/>
    <w:rsid w:val="002E2110"/>
    <w:rsid w:val="002E54DF"/>
    <w:rsid w:val="002E5538"/>
    <w:rsid w:val="002E6305"/>
    <w:rsid w:val="002E74A9"/>
    <w:rsid w:val="002E755B"/>
    <w:rsid w:val="002F17BA"/>
    <w:rsid w:val="002F1B48"/>
    <w:rsid w:val="002F2B9B"/>
    <w:rsid w:val="002F34F7"/>
    <w:rsid w:val="002F48F0"/>
    <w:rsid w:val="002F4CF9"/>
    <w:rsid w:val="002F58B3"/>
    <w:rsid w:val="002F5A2E"/>
    <w:rsid w:val="002F653F"/>
    <w:rsid w:val="002F7EEA"/>
    <w:rsid w:val="00300510"/>
    <w:rsid w:val="00300661"/>
    <w:rsid w:val="00300B7C"/>
    <w:rsid w:val="00303CD3"/>
    <w:rsid w:val="00304929"/>
    <w:rsid w:val="00304E5F"/>
    <w:rsid w:val="00305F65"/>
    <w:rsid w:val="0030716D"/>
    <w:rsid w:val="00310CF0"/>
    <w:rsid w:val="00311263"/>
    <w:rsid w:val="003118C4"/>
    <w:rsid w:val="0031202D"/>
    <w:rsid w:val="00315137"/>
    <w:rsid w:val="00315A55"/>
    <w:rsid w:val="003166C8"/>
    <w:rsid w:val="00321647"/>
    <w:rsid w:val="00322F26"/>
    <w:rsid w:val="00323B43"/>
    <w:rsid w:val="00324F62"/>
    <w:rsid w:val="003264E3"/>
    <w:rsid w:val="003268FB"/>
    <w:rsid w:val="00330AC6"/>
    <w:rsid w:val="00332C11"/>
    <w:rsid w:val="00332D68"/>
    <w:rsid w:val="0033363C"/>
    <w:rsid w:val="003347F9"/>
    <w:rsid w:val="00334B8A"/>
    <w:rsid w:val="003363D9"/>
    <w:rsid w:val="0034141C"/>
    <w:rsid w:val="00342446"/>
    <w:rsid w:val="00342C68"/>
    <w:rsid w:val="00343904"/>
    <w:rsid w:val="00344305"/>
    <w:rsid w:val="003451BA"/>
    <w:rsid w:val="003466D9"/>
    <w:rsid w:val="003472F4"/>
    <w:rsid w:val="003520EA"/>
    <w:rsid w:val="00356213"/>
    <w:rsid w:val="00360833"/>
    <w:rsid w:val="00360D80"/>
    <w:rsid w:val="00361887"/>
    <w:rsid w:val="0036242A"/>
    <w:rsid w:val="0036291A"/>
    <w:rsid w:val="00364A6B"/>
    <w:rsid w:val="00366B6C"/>
    <w:rsid w:val="003704BD"/>
    <w:rsid w:val="00371899"/>
    <w:rsid w:val="0037212B"/>
    <w:rsid w:val="00376D3A"/>
    <w:rsid w:val="0038010C"/>
    <w:rsid w:val="00381EE8"/>
    <w:rsid w:val="00384B79"/>
    <w:rsid w:val="00385D9B"/>
    <w:rsid w:val="00385E2E"/>
    <w:rsid w:val="00385FB5"/>
    <w:rsid w:val="00386E30"/>
    <w:rsid w:val="0039031C"/>
    <w:rsid w:val="0039079B"/>
    <w:rsid w:val="00391100"/>
    <w:rsid w:val="00392ADE"/>
    <w:rsid w:val="00395E5F"/>
    <w:rsid w:val="003962CA"/>
    <w:rsid w:val="003A0E51"/>
    <w:rsid w:val="003A109F"/>
    <w:rsid w:val="003A3B5C"/>
    <w:rsid w:val="003A6C51"/>
    <w:rsid w:val="003A7492"/>
    <w:rsid w:val="003B3E71"/>
    <w:rsid w:val="003B4E7A"/>
    <w:rsid w:val="003B58FB"/>
    <w:rsid w:val="003B72DB"/>
    <w:rsid w:val="003B755A"/>
    <w:rsid w:val="003C2A11"/>
    <w:rsid w:val="003C4D65"/>
    <w:rsid w:val="003D0D07"/>
    <w:rsid w:val="003D1391"/>
    <w:rsid w:val="003D1C55"/>
    <w:rsid w:val="003D25A5"/>
    <w:rsid w:val="003D2F85"/>
    <w:rsid w:val="003D37D8"/>
    <w:rsid w:val="003D6BEB"/>
    <w:rsid w:val="003D72F9"/>
    <w:rsid w:val="003E1FEB"/>
    <w:rsid w:val="003E2096"/>
    <w:rsid w:val="003E47BB"/>
    <w:rsid w:val="003E5527"/>
    <w:rsid w:val="003E6DDF"/>
    <w:rsid w:val="003E7E53"/>
    <w:rsid w:val="003F1F08"/>
    <w:rsid w:val="003F5A36"/>
    <w:rsid w:val="003F5D87"/>
    <w:rsid w:val="003F6521"/>
    <w:rsid w:val="003F6967"/>
    <w:rsid w:val="003F7740"/>
    <w:rsid w:val="004001C1"/>
    <w:rsid w:val="004001E4"/>
    <w:rsid w:val="004004EB"/>
    <w:rsid w:val="00400E5D"/>
    <w:rsid w:val="00402B04"/>
    <w:rsid w:val="00403358"/>
    <w:rsid w:val="00410991"/>
    <w:rsid w:val="004114E1"/>
    <w:rsid w:val="00415654"/>
    <w:rsid w:val="004201FC"/>
    <w:rsid w:val="00422434"/>
    <w:rsid w:val="004241D9"/>
    <w:rsid w:val="004247ED"/>
    <w:rsid w:val="004253BC"/>
    <w:rsid w:val="00425405"/>
    <w:rsid w:val="00426133"/>
    <w:rsid w:val="00431958"/>
    <w:rsid w:val="004326EE"/>
    <w:rsid w:val="0043337F"/>
    <w:rsid w:val="0043375E"/>
    <w:rsid w:val="0043576B"/>
    <w:rsid w:val="004358AB"/>
    <w:rsid w:val="0043777F"/>
    <w:rsid w:val="0044059B"/>
    <w:rsid w:val="0044507F"/>
    <w:rsid w:val="00445D73"/>
    <w:rsid w:val="0044658C"/>
    <w:rsid w:val="00446C53"/>
    <w:rsid w:val="0045028E"/>
    <w:rsid w:val="00450345"/>
    <w:rsid w:val="00451D40"/>
    <w:rsid w:val="00452590"/>
    <w:rsid w:val="0045406B"/>
    <w:rsid w:val="0045410F"/>
    <w:rsid w:val="004552D8"/>
    <w:rsid w:val="00460067"/>
    <w:rsid w:val="00461E66"/>
    <w:rsid w:val="00463498"/>
    <w:rsid w:val="00463B8E"/>
    <w:rsid w:val="00464EAB"/>
    <w:rsid w:val="0046500E"/>
    <w:rsid w:val="00467EC4"/>
    <w:rsid w:val="00467F5E"/>
    <w:rsid w:val="0047107C"/>
    <w:rsid w:val="00471A82"/>
    <w:rsid w:val="004729EB"/>
    <w:rsid w:val="00472B4D"/>
    <w:rsid w:val="00473A6F"/>
    <w:rsid w:val="00474F6D"/>
    <w:rsid w:val="00475CD9"/>
    <w:rsid w:val="004765ED"/>
    <w:rsid w:val="0048098F"/>
    <w:rsid w:val="00480A42"/>
    <w:rsid w:val="00481951"/>
    <w:rsid w:val="0048427B"/>
    <w:rsid w:val="00485488"/>
    <w:rsid w:val="00485780"/>
    <w:rsid w:val="004859A5"/>
    <w:rsid w:val="00485C6F"/>
    <w:rsid w:val="00485CC1"/>
    <w:rsid w:val="0049096A"/>
    <w:rsid w:val="004951FE"/>
    <w:rsid w:val="00495CEC"/>
    <w:rsid w:val="00497423"/>
    <w:rsid w:val="004A0A96"/>
    <w:rsid w:val="004A2CC3"/>
    <w:rsid w:val="004A53D6"/>
    <w:rsid w:val="004A781E"/>
    <w:rsid w:val="004A7B5C"/>
    <w:rsid w:val="004B19D6"/>
    <w:rsid w:val="004B21AE"/>
    <w:rsid w:val="004B3BCA"/>
    <w:rsid w:val="004B4838"/>
    <w:rsid w:val="004B5125"/>
    <w:rsid w:val="004C07B3"/>
    <w:rsid w:val="004C0BB7"/>
    <w:rsid w:val="004C1558"/>
    <w:rsid w:val="004C25FA"/>
    <w:rsid w:val="004C3528"/>
    <w:rsid w:val="004C3E75"/>
    <w:rsid w:val="004C5596"/>
    <w:rsid w:val="004C77B0"/>
    <w:rsid w:val="004D15CE"/>
    <w:rsid w:val="004E0D36"/>
    <w:rsid w:val="004E2BFC"/>
    <w:rsid w:val="004E3CB2"/>
    <w:rsid w:val="004E571B"/>
    <w:rsid w:val="004E7174"/>
    <w:rsid w:val="004F17CD"/>
    <w:rsid w:val="004F2A64"/>
    <w:rsid w:val="004F2D94"/>
    <w:rsid w:val="004F2F46"/>
    <w:rsid w:val="004F4341"/>
    <w:rsid w:val="004F4F29"/>
    <w:rsid w:val="004F531F"/>
    <w:rsid w:val="004F7746"/>
    <w:rsid w:val="00500C6D"/>
    <w:rsid w:val="00502B7C"/>
    <w:rsid w:val="00504ACA"/>
    <w:rsid w:val="00505382"/>
    <w:rsid w:val="00511F4F"/>
    <w:rsid w:val="00512570"/>
    <w:rsid w:val="005132E2"/>
    <w:rsid w:val="00514EFF"/>
    <w:rsid w:val="00517DF1"/>
    <w:rsid w:val="0052047B"/>
    <w:rsid w:val="00520A3B"/>
    <w:rsid w:val="00521445"/>
    <w:rsid w:val="00521AFC"/>
    <w:rsid w:val="00521E93"/>
    <w:rsid w:val="00522BA5"/>
    <w:rsid w:val="00524324"/>
    <w:rsid w:val="0052522E"/>
    <w:rsid w:val="00527E14"/>
    <w:rsid w:val="00527F1C"/>
    <w:rsid w:val="00530547"/>
    <w:rsid w:val="00530F9A"/>
    <w:rsid w:val="005324A6"/>
    <w:rsid w:val="005333CF"/>
    <w:rsid w:val="00533EF5"/>
    <w:rsid w:val="0053593F"/>
    <w:rsid w:val="00535A54"/>
    <w:rsid w:val="00536AB6"/>
    <w:rsid w:val="00537469"/>
    <w:rsid w:val="005375D3"/>
    <w:rsid w:val="00540679"/>
    <w:rsid w:val="00540C55"/>
    <w:rsid w:val="00541134"/>
    <w:rsid w:val="0054356F"/>
    <w:rsid w:val="00544D32"/>
    <w:rsid w:val="00545FC7"/>
    <w:rsid w:val="0054675A"/>
    <w:rsid w:val="005471AF"/>
    <w:rsid w:val="005474F4"/>
    <w:rsid w:val="005514AF"/>
    <w:rsid w:val="005528EE"/>
    <w:rsid w:val="0055354D"/>
    <w:rsid w:val="00553DB1"/>
    <w:rsid w:val="005568D5"/>
    <w:rsid w:val="00560680"/>
    <w:rsid w:val="0056381B"/>
    <w:rsid w:val="005731C4"/>
    <w:rsid w:val="0057415C"/>
    <w:rsid w:val="00574FBD"/>
    <w:rsid w:val="0057521E"/>
    <w:rsid w:val="005763A7"/>
    <w:rsid w:val="00576E0C"/>
    <w:rsid w:val="00576F8F"/>
    <w:rsid w:val="00581DE4"/>
    <w:rsid w:val="005824FB"/>
    <w:rsid w:val="005831B7"/>
    <w:rsid w:val="00584E93"/>
    <w:rsid w:val="00591721"/>
    <w:rsid w:val="00592206"/>
    <w:rsid w:val="00595E3D"/>
    <w:rsid w:val="005967A9"/>
    <w:rsid w:val="005969F9"/>
    <w:rsid w:val="005A3449"/>
    <w:rsid w:val="005B09B4"/>
    <w:rsid w:val="005B2F2B"/>
    <w:rsid w:val="005B32E8"/>
    <w:rsid w:val="005B3DBF"/>
    <w:rsid w:val="005B608C"/>
    <w:rsid w:val="005B6B94"/>
    <w:rsid w:val="005C1D84"/>
    <w:rsid w:val="005C2988"/>
    <w:rsid w:val="005C70E9"/>
    <w:rsid w:val="005D22F0"/>
    <w:rsid w:val="005D4644"/>
    <w:rsid w:val="005D6CA2"/>
    <w:rsid w:val="005D6DAA"/>
    <w:rsid w:val="005E018A"/>
    <w:rsid w:val="005E051B"/>
    <w:rsid w:val="005E0DA0"/>
    <w:rsid w:val="005E24BA"/>
    <w:rsid w:val="005E2DFF"/>
    <w:rsid w:val="005E3909"/>
    <w:rsid w:val="005E42AC"/>
    <w:rsid w:val="005E43AF"/>
    <w:rsid w:val="005F0F91"/>
    <w:rsid w:val="005F2554"/>
    <w:rsid w:val="005F39E6"/>
    <w:rsid w:val="005F3B65"/>
    <w:rsid w:val="005F5E5D"/>
    <w:rsid w:val="00601463"/>
    <w:rsid w:val="00601C14"/>
    <w:rsid w:val="00601C7C"/>
    <w:rsid w:val="006043AA"/>
    <w:rsid w:val="00604FEA"/>
    <w:rsid w:val="006111CC"/>
    <w:rsid w:val="00611C00"/>
    <w:rsid w:val="00612DDF"/>
    <w:rsid w:val="00613E91"/>
    <w:rsid w:val="00614E99"/>
    <w:rsid w:val="00616ECD"/>
    <w:rsid w:val="00620E3E"/>
    <w:rsid w:val="00622D1F"/>
    <w:rsid w:val="00624DCA"/>
    <w:rsid w:val="00626CED"/>
    <w:rsid w:val="006274D2"/>
    <w:rsid w:val="00627CFB"/>
    <w:rsid w:val="00627F01"/>
    <w:rsid w:val="00631ACA"/>
    <w:rsid w:val="0063231B"/>
    <w:rsid w:val="00633320"/>
    <w:rsid w:val="00641EA7"/>
    <w:rsid w:val="00645C81"/>
    <w:rsid w:val="00645EB8"/>
    <w:rsid w:val="00646650"/>
    <w:rsid w:val="00646B8D"/>
    <w:rsid w:val="00651291"/>
    <w:rsid w:val="006512C8"/>
    <w:rsid w:val="0065230A"/>
    <w:rsid w:val="00652781"/>
    <w:rsid w:val="00653CAF"/>
    <w:rsid w:val="00655A21"/>
    <w:rsid w:val="00656E00"/>
    <w:rsid w:val="00657E78"/>
    <w:rsid w:val="00661EB0"/>
    <w:rsid w:val="006660C1"/>
    <w:rsid w:val="00672E48"/>
    <w:rsid w:val="00673894"/>
    <w:rsid w:val="00674F17"/>
    <w:rsid w:val="006754A6"/>
    <w:rsid w:val="0067652A"/>
    <w:rsid w:val="00680691"/>
    <w:rsid w:val="00681E2E"/>
    <w:rsid w:val="006827F3"/>
    <w:rsid w:val="00684577"/>
    <w:rsid w:val="0068481C"/>
    <w:rsid w:val="006861AC"/>
    <w:rsid w:val="006867F2"/>
    <w:rsid w:val="00687105"/>
    <w:rsid w:val="00691CE8"/>
    <w:rsid w:val="00693D3F"/>
    <w:rsid w:val="0069659F"/>
    <w:rsid w:val="006A3524"/>
    <w:rsid w:val="006A3A22"/>
    <w:rsid w:val="006A3B68"/>
    <w:rsid w:val="006A6F33"/>
    <w:rsid w:val="006A7772"/>
    <w:rsid w:val="006B0D68"/>
    <w:rsid w:val="006B1B04"/>
    <w:rsid w:val="006B3403"/>
    <w:rsid w:val="006B52CA"/>
    <w:rsid w:val="006B7713"/>
    <w:rsid w:val="006C141C"/>
    <w:rsid w:val="006C1426"/>
    <w:rsid w:val="006C18AF"/>
    <w:rsid w:val="006C3689"/>
    <w:rsid w:val="006C43EE"/>
    <w:rsid w:val="006C5718"/>
    <w:rsid w:val="006D2A95"/>
    <w:rsid w:val="006D70CC"/>
    <w:rsid w:val="006D7570"/>
    <w:rsid w:val="006D7917"/>
    <w:rsid w:val="006E1228"/>
    <w:rsid w:val="006E14A2"/>
    <w:rsid w:val="006E1FF3"/>
    <w:rsid w:val="006E3CC4"/>
    <w:rsid w:val="006F3216"/>
    <w:rsid w:val="006F36C1"/>
    <w:rsid w:val="006F38B4"/>
    <w:rsid w:val="006F3D5B"/>
    <w:rsid w:val="007025DD"/>
    <w:rsid w:val="00702B74"/>
    <w:rsid w:val="007042A5"/>
    <w:rsid w:val="0070448E"/>
    <w:rsid w:val="0070494C"/>
    <w:rsid w:val="00706EB6"/>
    <w:rsid w:val="00711488"/>
    <w:rsid w:val="007126DA"/>
    <w:rsid w:val="0071442A"/>
    <w:rsid w:val="007179EA"/>
    <w:rsid w:val="00717C5D"/>
    <w:rsid w:val="0072520F"/>
    <w:rsid w:val="00726478"/>
    <w:rsid w:val="00731E90"/>
    <w:rsid w:val="00736225"/>
    <w:rsid w:val="00737DED"/>
    <w:rsid w:val="007405EC"/>
    <w:rsid w:val="0074166F"/>
    <w:rsid w:val="00744B88"/>
    <w:rsid w:val="007457F7"/>
    <w:rsid w:val="00746732"/>
    <w:rsid w:val="00747D96"/>
    <w:rsid w:val="00753581"/>
    <w:rsid w:val="00754B03"/>
    <w:rsid w:val="007550B9"/>
    <w:rsid w:val="007561CB"/>
    <w:rsid w:val="00757133"/>
    <w:rsid w:val="007662C0"/>
    <w:rsid w:val="00766765"/>
    <w:rsid w:val="00771045"/>
    <w:rsid w:val="0077421C"/>
    <w:rsid w:val="00775183"/>
    <w:rsid w:val="00775E8E"/>
    <w:rsid w:val="0077644A"/>
    <w:rsid w:val="00777669"/>
    <w:rsid w:val="00777A5E"/>
    <w:rsid w:val="00777F88"/>
    <w:rsid w:val="00780B96"/>
    <w:rsid w:val="00780ED7"/>
    <w:rsid w:val="0078474C"/>
    <w:rsid w:val="007928F1"/>
    <w:rsid w:val="00792AA6"/>
    <w:rsid w:val="00794BF5"/>
    <w:rsid w:val="00795037"/>
    <w:rsid w:val="00795CA2"/>
    <w:rsid w:val="00796696"/>
    <w:rsid w:val="00796DDF"/>
    <w:rsid w:val="007A089A"/>
    <w:rsid w:val="007A0A9D"/>
    <w:rsid w:val="007A186D"/>
    <w:rsid w:val="007A2AD0"/>
    <w:rsid w:val="007A2C6D"/>
    <w:rsid w:val="007A2F92"/>
    <w:rsid w:val="007A478A"/>
    <w:rsid w:val="007A5566"/>
    <w:rsid w:val="007A60A7"/>
    <w:rsid w:val="007A6CD9"/>
    <w:rsid w:val="007B0951"/>
    <w:rsid w:val="007B125A"/>
    <w:rsid w:val="007B47F3"/>
    <w:rsid w:val="007B4A73"/>
    <w:rsid w:val="007B62E0"/>
    <w:rsid w:val="007B631F"/>
    <w:rsid w:val="007C25E0"/>
    <w:rsid w:val="007C2F95"/>
    <w:rsid w:val="007C5615"/>
    <w:rsid w:val="007C62A5"/>
    <w:rsid w:val="007C69E9"/>
    <w:rsid w:val="007D2FED"/>
    <w:rsid w:val="007E05CB"/>
    <w:rsid w:val="007E0DBE"/>
    <w:rsid w:val="007E277D"/>
    <w:rsid w:val="007E2D86"/>
    <w:rsid w:val="007E543B"/>
    <w:rsid w:val="007E5775"/>
    <w:rsid w:val="007E6615"/>
    <w:rsid w:val="007E6622"/>
    <w:rsid w:val="007E6BF0"/>
    <w:rsid w:val="007E6C90"/>
    <w:rsid w:val="007E7A18"/>
    <w:rsid w:val="007E7F64"/>
    <w:rsid w:val="007F4532"/>
    <w:rsid w:val="007F6415"/>
    <w:rsid w:val="007F78EF"/>
    <w:rsid w:val="00801B6F"/>
    <w:rsid w:val="00804850"/>
    <w:rsid w:val="00804ADC"/>
    <w:rsid w:val="00807388"/>
    <w:rsid w:val="00811D40"/>
    <w:rsid w:val="0081543C"/>
    <w:rsid w:val="00815DDB"/>
    <w:rsid w:val="008177E3"/>
    <w:rsid w:val="008249C6"/>
    <w:rsid w:val="008249DB"/>
    <w:rsid w:val="00826C81"/>
    <w:rsid w:val="0082720A"/>
    <w:rsid w:val="008273D6"/>
    <w:rsid w:val="00827884"/>
    <w:rsid w:val="00831231"/>
    <w:rsid w:val="00833C2A"/>
    <w:rsid w:val="008402FD"/>
    <w:rsid w:val="00840648"/>
    <w:rsid w:val="008458F6"/>
    <w:rsid w:val="00845A64"/>
    <w:rsid w:val="008527B6"/>
    <w:rsid w:val="00853B5B"/>
    <w:rsid w:val="00857161"/>
    <w:rsid w:val="00862EA2"/>
    <w:rsid w:val="00863C22"/>
    <w:rsid w:val="00863DAC"/>
    <w:rsid w:val="00866163"/>
    <w:rsid w:val="00866F82"/>
    <w:rsid w:val="00870C14"/>
    <w:rsid w:val="0087333C"/>
    <w:rsid w:val="008735DE"/>
    <w:rsid w:val="00875835"/>
    <w:rsid w:val="0087584A"/>
    <w:rsid w:val="00876CA4"/>
    <w:rsid w:val="00877999"/>
    <w:rsid w:val="008826BE"/>
    <w:rsid w:val="008831BA"/>
    <w:rsid w:val="00884333"/>
    <w:rsid w:val="008853DF"/>
    <w:rsid w:val="008871BE"/>
    <w:rsid w:val="00891797"/>
    <w:rsid w:val="00891845"/>
    <w:rsid w:val="008926CE"/>
    <w:rsid w:val="00893302"/>
    <w:rsid w:val="00893444"/>
    <w:rsid w:val="00894715"/>
    <w:rsid w:val="00897040"/>
    <w:rsid w:val="0089734A"/>
    <w:rsid w:val="008974B6"/>
    <w:rsid w:val="00897771"/>
    <w:rsid w:val="008A0784"/>
    <w:rsid w:val="008A46D5"/>
    <w:rsid w:val="008B0170"/>
    <w:rsid w:val="008B1C1B"/>
    <w:rsid w:val="008B33F4"/>
    <w:rsid w:val="008B59C8"/>
    <w:rsid w:val="008B61B2"/>
    <w:rsid w:val="008B680D"/>
    <w:rsid w:val="008B75B5"/>
    <w:rsid w:val="008B7726"/>
    <w:rsid w:val="008C1990"/>
    <w:rsid w:val="008C1B2B"/>
    <w:rsid w:val="008C1D6A"/>
    <w:rsid w:val="008C216E"/>
    <w:rsid w:val="008C47FD"/>
    <w:rsid w:val="008C5A24"/>
    <w:rsid w:val="008D1CAF"/>
    <w:rsid w:val="008D2939"/>
    <w:rsid w:val="008E048A"/>
    <w:rsid w:val="008E08E6"/>
    <w:rsid w:val="008E47CB"/>
    <w:rsid w:val="008E5D61"/>
    <w:rsid w:val="008E6A6A"/>
    <w:rsid w:val="008E7C89"/>
    <w:rsid w:val="008F10D6"/>
    <w:rsid w:val="008F2618"/>
    <w:rsid w:val="008F413C"/>
    <w:rsid w:val="008F5637"/>
    <w:rsid w:val="008F69FF"/>
    <w:rsid w:val="008F6CC0"/>
    <w:rsid w:val="008F72D2"/>
    <w:rsid w:val="00900A7B"/>
    <w:rsid w:val="00902B65"/>
    <w:rsid w:val="00903D58"/>
    <w:rsid w:val="009043C9"/>
    <w:rsid w:val="00905CEB"/>
    <w:rsid w:val="00907CF0"/>
    <w:rsid w:val="00910EEA"/>
    <w:rsid w:val="00910F46"/>
    <w:rsid w:val="00913229"/>
    <w:rsid w:val="009135C2"/>
    <w:rsid w:val="00913D56"/>
    <w:rsid w:val="009158F9"/>
    <w:rsid w:val="00915CC6"/>
    <w:rsid w:val="0091694F"/>
    <w:rsid w:val="00920CF5"/>
    <w:rsid w:val="0092254A"/>
    <w:rsid w:val="00922721"/>
    <w:rsid w:val="00931F49"/>
    <w:rsid w:val="009327C7"/>
    <w:rsid w:val="00934205"/>
    <w:rsid w:val="00941D44"/>
    <w:rsid w:val="009433FD"/>
    <w:rsid w:val="009438E5"/>
    <w:rsid w:val="00950C6A"/>
    <w:rsid w:val="009534D8"/>
    <w:rsid w:val="0095390D"/>
    <w:rsid w:val="00956BEC"/>
    <w:rsid w:val="00957F66"/>
    <w:rsid w:val="00962A64"/>
    <w:rsid w:val="00962FB5"/>
    <w:rsid w:val="0096428D"/>
    <w:rsid w:val="00964442"/>
    <w:rsid w:val="00964686"/>
    <w:rsid w:val="0096750D"/>
    <w:rsid w:val="00967BB5"/>
    <w:rsid w:val="009752BA"/>
    <w:rsid w:val="00976189"/>
    <w:rsid w:val="00976988"/>
    <w:rsid w:val="00982FB0"/>
    <w:rsid w:val="00985994"/>
    <w:rsid w:val="00985AA2"/>
    <w:rsid w:val="00986236"/>
    <w:rsid w:val="00987802"/>
    <w:rsid w:val="009903C4"/>
    <w:rsid w:val="009905EF"/>
    <w:rsid w:val="00990AB9"/>
    <w:rsid w:val="00991E3D"/>
    <w:rsid w:val="00992CD1"/>
    <w:rsid w:val="0099433C"/>
    <w:rsid w:val="00995B44"/>
    <w:rsid w:val="00995C22"/>
    <w:rsid w:val="009A056D"/>
    <w:rsid w:val="009A3D2E"/>
    <w:rsid w:val="009A50CC"/>
    <w:rsid w:val="009A53FE"/>
    <w:rsid w:val="009A6686"/>
    <w:rsid w:val="009A756B"/>
    <w:rsid w:val="009B0715"/>
    <w:rsid w:val="009B2E61"/>
    <w:rsid w:val="009B5D05"/>
    <w:rsid w:val="009B6A5D"/>
    <w:rsid w:val="009B7224"/>
    <w:rsid w:val="009C1185"/>
    <w:rsid w:val="009C1F31"/>
    <w:rsid w:val="009C21CD"/>
    <w:rsid w:val="009C249A"/>
    <w:rsid w:val="009C26F5"/>
    <w:rsid w:val="009C2E18"/>
    <w:rsid w:val="009C34B8"/>
    <w:rsid w:val="009C379E"/>
    <w:rsid w:val="009C496D"/>
    <w:rsid w:val="009C4DD9"/>
    <w:rsid w:val="009C644A"/>
    <w:rsid w:val="009C6F54"/>
    <w:rsid w:val="009D2C2A"/>
    <w:rsid w:val="009D37DD"/>
    <w:rsid w:val="009D3EFC"/>
    <w:rsid w:val="009D4604"/>
    <w:rsid w:val="009D4618"/>
    <w:rsid w:val="009D5756"/>
    <w:rsid w:val="009D6F2E"/>
    <w:rsid w:val="009E2414"/>
    <w:rsid w:val="009E2626"/>
    <w:rsid w:val="009E2F46"/>
    <w:rsid w:val="009E58B4"/>
    <w:rsid w:val="009F0D72"/>
    <w:rsid w:val="009F20C5"/>
    <w:rsid w:val="009F5F80"/>
    <w:rsid w:val="00A02CBD"/>
    <w:rsid w:val="00A03A05"/>
    <w:rsid w:val="00A03C5F"/>
    <w:rsid w:val="00A05F5A"/>
    <w:rsid w:val="00A06299"/>
    <w:rsid w:val="00A064F2"/>
    <w:rsid w:val="00A07341"/>
    <w:rsid w:val="00A077AA"/>
    <w:rsid w:val="00A07C1D"/>
    <w:rsid w:val="00A1189D"/>
    <w:rsid w:val="00A13C28"/>
    <w:rsid w:val="00A151A4"/>
    <w:rsid w:val="00A15F71"/>
    <w:rsid w:val="00A17E46"/>
    <w:rsid w:val="00A20027"/>
    <w:rsid w:val="00A20890"/>
    <w:rsid w:val="00A21757"/>
    <w:rsid w:val="00A225FA"/>
    <w:rsid w:val="00A226CE"/>
    <w:rsid w:val="00A276F3"/>
    <w:rsid w:val="00A3071B"/>
    <w:rsid w:val="00A31119"/>
    <w:rsid w:val="00A32372"/>
    <w:rsid w:val="00A32786"/>
    <w:rsid w:val="00A3386D"/>
    <w:rsid w:val="00A34197"/>
    <w:rsid w:val="00A36021"/>
    <w:rsid w:val="00A4022F"/>
    <w:rsid w:val="00A43680"/>
    <w:rsid w:val="00A43B28"/>
    <w:rsid w:val="00A43CD0"/>
    <w:rsid w:val="00A45329"/>
    <w:rsid w:val="00A5142B"/>
    <w:rsid w:val="00A5202F"/>
    <w:rsid w:val="00A523B3"/>
    <w:rsid w:val="00A54FC5"/>
    <w:rsid w:val="00A56995"/>
    <w:rsid w:val="00A60158"/>
    <w:rsid w:val="00A6024A"/>
    <w:rsid w:val="00A60EBD"/>
    <w:rsid w:val="00A6389D"/>
    <w:rsid w:val="00A63B42"/>
    <w:rsid w:val="00A64C75"/>
    <w:rsid w:val="00A65307"/>
    <w:rsid w:val="00A65A55"/>
    <w:rsid w:val="00A6624B"/>
    <w:rsid w:val="00A66426"/>
    <w:rsid w:val="00A7390D"/>
    <w:rsid w:val="00A7696B"/>
    <w:rsid w:val="00A77B01"/>
    <w:rsid w:val="00A81473"/>
    <w:rsid w:val="00A81E7E"/>
    <w:rsid w:val="00A85934"/>
    <w:rsid w:val="00A87449"/>
    <w:rsid w:val="00A95BDB"/>
    <w:rsid w:val="00A96435"/>
    <w:rsid w:val="00AA0886"/>
    <w:rsid w:val="00AA0FA0"/>
    <w:rsid w:val="00AA38C4"/>
    <w:rsid w:val="00AA6537"/>
    <w:rsid w:val="00AA68CA"/>
    <w:rsid w:val="00AB2DE7"/>
    <w:rsid w:val="00AB3FB7"/>
    <w:rsid w:val="00AB48F5"/>
    <w:rsid w:val="00AC0DF0"/>
    <w:rsid w:val="00AC294D"/>
    <w:rsid w:val="00AC2D5B"/>
    <w:rsid w:val="00AC5F5D"/>
    <w:rsid w:val="00AC6306"/>
    <w:rsid w:val="00AC664D"/>
    <w:rsid w:val="00AC6B54"/>
    <w:rsid w:val="00AD411F"/>
    <w:rsid w:val="00AD50FF"/>
    <w:rsid w:val="00AD5A1C"/>
    <w:rsid w:val="00AD5D7C"/>
    <w:rsid w:val="00AD69C0"/>
    <w:rsid w:val="00AE0749"/>
    <w:rsid w:val="00AE07C3"/>
    <w:rsid w:val="00AE0894"/>
    <w:rsid w:val="00AE0962"/>
    <w:rsid w:val="00AE13D9"/>
    <w:rsid w:val="00AE2D55"/>
    <w:rsid w:val="00AE5A88"/>
    <w:rsid w:val="00AF057D"/>
    <w:rsid w:val="00AF1856"/>
    <w:rsid w:val="00AF2536"/>
    <w:rsid w:val="00AF5195"/>
    <w:rsid w:val="00AF5607"/>
    <w:rsid w:val="00AF5A93"/>
    <w:rsid w:val="00B01D35"/>
    <w:rsid w:val="00B03832"/>
    <w:rsid w:val="00B04923"/>
    <w:rsid w:val="00B07BA5"/>
    <w:rsid w:val="00B126E3"/>
    <w:rsid w:val="00B138F1"/>
    <w:rsid w:val="00B13E46"/>
    <w:rsid w:val="00B14E1B"/>
    <w:rsid w:val="00B15710"/>
    <w:rsid w:val="00B17D53"/>
    <w:rsid w:val="00B21159"/>
    <w:rsid w:val="00B2235B"/>
    <w:rsid w:val="00B233DE"/>
    <w:rsid w:val="00B25130"/>
    <w:rsid w:val="00B25C4E"/>
    <w:rsid w:val="00B26DBD"/>
    <w:rsid w:val="00B3493F"/>
    <w:rsid w:val="00B37129"/>
    <w:rsid w:val="00B37BFE"/>
    <w:rsid w:val="00B40C9C"/>
    <w:rsid w:val="00B41636"/>
    <w:rsid w:val="00B41AEE"/>
    <w:rsid w:val="00B4316D"/>
    <w:rsid w:val="00B43985"/>
    <w:rsid w:val="00B4479C"/>
    <w:rsid w:val="00B44D49"/>
    <w:rsid w:val="00B46827"/>
    <w:rsid w:val="00B479D7"/>
    <w:rsid w:val="00B50826"/>
    <w:rsid w:val="00B51E8E"/>
    <w:rsid w:val="00B53F2D"/>
    <w:rsid w:val="00B55CBF"/>
    <w:rsid w:val="00B56134"/>
    <w:rsid w:val="00B61465"/>
    <w:rsid w:val="00B61708"/>
    <w:rsid w:val="00B62D8E"/>
    <w:rsid w:val="00B65AA5"/>
    <w:rsid w:val="00B67628"/>
    <w:rsid w:val="00B70D76"/>
    <w:rsid w:val="00B720B6"/>
    <w:rsid w:val="00B739A6"/>
    <w:rsid w:val="00B75C66"/>
    <w:rsid w:val="00B762C8"/>
    <w:rsid w:val="00B8258A"/>
    <w:rsid w:val="00B82FCC"/>
    <w:rsid w:val="00B8308E"/>
    <w:rsid w:val="00B854F8"/>
    <w:rsid w:val="00B85F3B"/>
    <w:rsid w:val="00B86134"/>
    <w:rsid w:val="00B87EBD"/>
    <w:rsid w:val="00B914D1"/>
    <w:rsid w:val="00B93AE8"/>
    <w:rsid w:val="00B94A38"/>
    <w:rsid w:val="00B9536D"/>
    <w:rsid w:val="00B96908"/>
    <w:rsid w:val="00BA2049"/>
    <w:rsid w:val="00BA2D1E"/>
    <w:rsid w:val="00BA4023"/>
    <w:rsid w:val="00BA49E6"/>
    <w:rsid w:val="00BA4F1A"/>
    <w:rsid w:val="00BA59E5"/>
    <w:rsid w:val="00BA706C"/>
    <w:rsid w:val="00BA7D9D"/>
    <w:rsid w:val="00BB23AC"/>
    <w:rsid w:val="00BB2413"/>
    <w:rsid w:val="00BB27AE"/>
    <w:rsid w:val="00BB2CDF"/>
    <w:rsid w:val="00BB2FC4"/>
    <w:rsid w:val="00BB321F"/>
    <w:rsid w:val="00BB4814"/>
    <w:rsid w:val="00BB7033"/>
    <w:rsid w:val="00BC06BF"/>
    <w:rsid w:val="00BC3DF9"/>
    <w:rsid w:val="00BC5345"/>
    <w:rsid w:val="00BC5ADE"/>
    <w:rsid w:val="00BD3CCE"/>
    <w:rsid w:val="00BD482C"/>
    <w:rsid w:val="00BD4907"/>
    <w:rsid w:val="00BD49F5"/>
    <w:rsid w:val="00BD4A09"/>
    <w:rsid w:val="00BE2686"/>
    <w:rsid w:val="00BE368C"/>
    <w:rsid w:val="00BE500A"/>
    <w:rsid w:val="00BE58E7"/>
    <w:rsid w:val="00BE7433"/>
    <w:rsid w:val="00BF24F4"/>
    <w:rsid w:val="00BF291B"/>
    <w:rsid w:val="00BF3F87"/>
    <w:rsid w:val="00BF7B8C"/>
    <w:rsid w:val="00C121E2"/>
    <w:rsid w:val="00C1437E"/>
    <w:rsid w:val="00C15005"/>
    <w:rsid w:val="00C17BE1"/>
    <w:rsid w:val="00C21612"/>
    <w:rsid w:val="00C24731"/>
    <w:rsid w:val="00C24B71"/>
    <w:rsid w:val="00C313DC"/>
    <w:rsid w:val="00C37B0C"/>
    <w:rsid w:val="00C37C56"/>
    <w:rsid w:val="00C4426F"/>
    <w:rsid w:val="00C46458"/>
    <w:rsid w:val="00C473CE"/>
    <w:rsid w:val="00C47FBB"/>
    <w:rsid w:val="00C501FE"/>
    <w:rsid w:val="00C503DE"/>
    <w:rsid w:val="00C50BF4"/>
    <w:rsid w:val="00C52030"/>
    <w:rsid w:val="00C5327C"/>
    <w:rsid w:val="00C53FF5"/>
    <w:rsid w:val="00C5473B"/>
    <w:rsid w:val="00C54871"/>
    <w:rsid w:val="00C5784E"/>
    <w:rsid w:val="00C60DBE"/>
    <w:rsid w:val="00C61CA2"/>
    <w:rsid w:val="00C61EB3"/>
    <w:rsid w:val="00C6291D"/>
    <w:rsid w:val="00C63163"/>
    <w:rsid w:val="00C64681"/>
    <w:rsid w:val="00C64E6B"/>
    <w:rsid w:val="00C7099B"/>
    <w:rsid w:val="00C728F4"/>
    <w:rsid w:val="00C72963"/>
    <w:rsid w:val="00C738CA"/>
    <w:rsid w:val="00C74B49"/>
    <w:rsid w:val="00C75CF0"/>
    <w:rsid w:val="00C763F6"/>
    <w:rsid w:val="00C77A10"/>
    <w:rsid w:val="00C8007F"/>
    <w:rsid w:val="00C801B3"/>
    <w:rsid w:val="00C808FE"/>
    <w:rsid w:val="00C81985"/>
    <w:rsid w:val="00C826EE"/>
    <w:rsid w:val="00C84F2E"/>
    <w:rsid w:val="00C8523F"/>
    <w:rsid w:val="00C85656"/>
    <w:rsid w:val="00C86AA2"/>
    <w:rsid w:val="00C8775F"/>
    <w:rsid w:val="00C902C7"/>
    <w:rsid w:val="00C9124D"/>
    <w:rsid w:val="00C92F04"/>
    <w:rsid w:val="00C93241"/>
    <w:rsid w:val="00C94FDD"/>
    <w:rsid w:val="00C977F9"/>
    <w:rsid w:val="00CA082F"/>
    <w:rsid w:val="00CA26B1"/>
    <w:rsid w:val="00CA4B3B"/>
    <w:rsid w:val="00CA574B"/>
    <w:rsid w:val="00CA6371"/>
    <w:rsid w:val="00CA76D2"/>
    <w:rsid w:val="00CA7BD4"/>
    <w:rsid w:val="00CB15AB"/>
    <w:rsid w:val="00CB51E3"/>
    <w:rsid w:val="00CB5AFA"/>
    <w:rsid w:val="00CB7464"/>
    <w:rsid w:val="00CC0B6A"/>
    <w:rsid w:val="00CC1014"/>
    <w:rsid w:val="00CC2CDE"/>
    <w:rsid w:val="00CC38CD"/>
    <w:rsid w:val="00CC5A0B"/>
    <w:rsid w:val="00CD1D0C"/>
    <w:rsid w:val="00CE048F"/>
    <w:rsid w:val="00CE483E"/>
    <w:rsid w:val="00CE66DF"/>
    <w:rsid w:val="00CF15B8"/>
    <w:rsid w:val="00CF316C"/>
    <w:rsid w:val="00CF37FD"/>
    <w:rsid w:val="00CF3976"/>
    <w:rsid w:val="00CF6AAD"/>
    <w:rsid w:val="00CF758A"/>
    <w:rsid w:val="00D016FC"/>
    <w:rsid w:val="00D033D8"/>
    <w:rsid w:val="00D05B7B"/>
    <w:rsid w:val="00D075CB"/>
    <w:rsid w:val="00D104B8"/>
    <w:rsid w:val="00D13209"/>
    <w:rsid w:val="00D13BE3"/>
    <w:rsid w:val="00D14057"/>
    <w:rsid w:val="00D14A3F"/>
    <w:rsid w:val="00D2141D"/>
    <w:rsid w:val="00D22921"/>
    <w:rsid w:val="00D23E3A"/>
    <w:rsid w:val="00D26412"/>
    <w:rsid w:val="00D27ADA"/>
    <w:rsid w:val="00D3176B"/>
    <w:rsid w:val="00D31D50"/>
    <w:rsid w:val="00D34FC0"/>
    <w:rsid w:val="00D3585E"/>
    <w:rsid w:val="00D3595D"/>
    <w:rsid w:val="00D42E9F"/>
    <w:rsid w:val="00D43EA7"/>
    <w:rsid w:val="00D44135"/>
    <w:rsid w:val="00D451FF"/>
    <w:rsid w:val="00D45AE3"/>
    <w:rsid w:val="00D45CF4"/>
    <w:rsid w:val="00D47EF6"/>
    <w:rsid w:val="00D522DB"/>
    <w:rsid w:val="00D546D2"/>
    <w:rsid w:val="00D565D8"/>
    <w:rsid w:val="00D57252"/>
    <w:rsid w:val="00D60084"/>
    <w:rsid w:val="00D63E31"/>
    <w:rsid w:val="00D646D6"/>
    <w:rsid w:val="00D64E74"/>
    <w:rsid w:val="00D66916"/>
    <w:rsid w:val="00D71506"/>
    <w:rsid w:val="00D74528"/>
    <w:rsid w:val="00D75305"/>
    <w:rsid w:val="00D76741"/>
    <w:rsid w:val="00D76CE3"/>
    <w:rsid w:val="00D800A4"/>
    <w:rsid w:val="00D815FC"/>
    <w:rsid w:val="00D81EFE"/>
    <w:rsid w:val="00D85220"/>
    <w:rsid w:val="00D853DF"/>
    <w:rsid w:val="00D8592D"/>
    <w:rsid w:val="00D86CDE"/>
    <w:rsid w:val="00D95445"/>
    <w:rsid w:val="00D97270"/>
    <w:rsid w:val="00DA0FD5"/>
    <w:rsid w:val="00DA40A5"/>
    <w:rsid w:val="00DA4F03"/>
    <w:rsid w:val="00DA76B4"/>
    <w:rsid w:val="00DB1A0F"/>
    <w:rsid w:val="00DB40C9"/>
    <w:rsid w:val="00DB6537"/>
    <w:rsid w:val="00DB6AC0"/>
    <w:rsid w:val="00DC0A37"/>
    <w:rsid w:val="00DC1028"/>
    <w:rsid w:val="00DC468A"/>
    <w:rsid w:val="00DC48F1"/>
    <w:rsid w:val="00DC5FDE"/>
    <w:rsid w:val="00DC707A"/>
    <w:rsid w:val="00DD10C2"/>
    <w:rsid w:val="00DD3E17"/>
    <w:rsid w:val="00DD45D4"/>
    <w:rsid w:val="00DD6FD1"/>
    <w:rsid w:val="00DE0B66"/>
    <w:rsid w:val="00DE6039"/>
    <w:rsid w:val="00DE6BFB"/>
    <w:rsid w:val="00DE7E9C"/>
    <w:rsid w:val="00DF3C59"/>
    <w:rsid w:val="00DF3F01"/>
    <w:rsid w:val="00DF433C"/>
    <w:rsid w:val="00DF7AFD"/>
    <w:rsid w:val="00E00256"/>
    <w:rsid w:val="00E00793"/>
    <w:rsid w:val="00E00D6B"/>
    <w:rsid w:val="00E00FBF"/>
    <w:rsid w:val="00E02338"/>
    <w:rsid w:val="00E03575"/>
    <w:rsid w:val="00E04567"/>
    <w:rsid w:val="00E04A6D"/>
    <w:rsid w:val="00E06966"/>
    <w:rsid w:val="00E101C3"/>
    <w:rsid w:val="00E10CDD"/>
    <w:rsid w:val="00E14834"/>
    <w:rsid w:val="00E17E7D"/>
    <w:rsid w:val="00E21CD4"/>
    <w:rsid w:val="00E23498"/>
    <w:rsid w:val="00E23780"/>
    <w:rsid w:val="00E24F34"/>
    <w:rsid w:val="00E25B2E"/>
    <w:rsid w:val="00E33F4C"/>
    <w:rsid w:val="00E3582C"/>
    <w:rsid w:val="00E36775"/>
    <w:rsid w:val="00E378C2"/>
    <w:rsid w:val="00E40017"/>
    <w:rsid w:val="00E431C2"/>
    <w:rsid w:val="00E44A9A"/>
    <w:rsid w:val="00E47357"/>
    <w:rsid w:val="00E502E7"/>
    <w:rsid w:val="00E51D95"/>
    <w:rsid w:val="00E51F01"/>
    <w:rsid w:val="00E52146"/>
    <w:rsid w:val="00E52692"/>
    <w:rsid w:val="00E52FAE"/>
    <w:rsid w:val="00E57229"/>
    <w:rsid w:val="00E62E53"/>
    <w:rsid w:val="00E632E1"/>
    <w:rsid w:val="00E636FD"/>
    <w:rsid w:val="00E651E7"/>
    <w:rsid w:val="00E6669E"/>
    <w:rsid w:val="00E668E3"/>
    <w:rsid w:val="00E675FE"/>
    <w:rsid w:val="00E71CE6"/>
    <w:rsid w:val="00E725F2"/>
    <w:rsid w:val="00E728D3"/>
    <w:rsid w:val="00E7546E"/>
    <w:rsid w:val="00E7760E"/>
    <w:rsid w:val="00E77ABD"/>
    <w:rsid w:val="00E808A6"/>
    <w:rsid w:val="00E81A99"/>
    <w:rsid w:val="00E84B24"/>
    <w:rsid w:val="00E85159"/>
    <w:rsid w:val="00E95213"/>
    <w:rsid w:val="00E960FA"/>
    <w:rsid w:val="00EA1512"/>
    <w:rsid w:val="00EA2846"/>
    <w:rsid w:val="00EA2E14"/>
    <w:rsid w:val="00EA4A7A"/>
    <w:rsid w:val="00EA585A"/>
    <w:rsid w:val="00EA5CDC"/>
    <w:rsid w:val="00EA730D"/>
    <w:rsid w:val="00EA7A70"/>
    <w:rsid w:val="00EB0968"/>
    <w:rsid w:val="00EB1D29"/>
    <w:rsid w:val="00EB241E"/>
    <w:rsid w:val="00EB3135"/>
    <w:rsid w:val="00EB3D40"/>
    <w:rsid w:val="00EB3D48"/>
    <w:rsid w:val="00EB4B39"/>
    <w:rsid w:val="00EB55CC"/>
    <w:rsid w:val="00EB6AEA"/>
    <w:rsid w:val="00EB7613"/>
    <w:rsid w:val="00EB7EA1"/>
    <w:rsid w:val="00EC2E80"/>
    <w:rsid w:val="00EC3257"/>
    <w:rsid w:val="00EC38A9"/>
    <w:rsid w:val="00ED134E"/>
    <w:rsid w:val="00ED2879"/>
    <w:rsid w:val="00ED3140"/>
    <w:rsid w:val="00ED325B"/>
    <w:rsid w:val="00ED4744"/>
    <w:rsid w:val="00ED6B53"/>
    <w:rsid w:val="00EE2588"/>
    <w:rsid w:val="00EE26EE"/>
    <w:rsid w:val="00EE65C2"/>
    <w:rsid w:val="00EF1032"/>
    <w:rsid w:val="00EF544D"/>
    <w:rsid w:val="00EF6793"/>
    <w:rsid w:val="00EF720E"/>
    <w:rsid w:val="00F039F6"/>
    <w:rsid w:val="00F03CA4"/>
    <w:rsid w:val="00F04C06"/>
    <w:rsid w:val="00F05D18"/>
    <w:rsid w:val="00F073B6"/>
    <w:rsid w:val="00F07D6B"/>
    <w:rsid w:val="00F11E87"/>
    <w:rsid w:val="00F14C49"/>
    <w:rsid w:val="00F239AF"/>
    <w:rsid w:val="00F23DE2"/>
    <w:rsid w:val="00F25A45"/>
    <w:rsid w:val="00F27722"/>
    <w:rsid w:val="00F3049E"/>
    <w:rsid w:val="00F31460"/>
    <w:rsid w:val="00F32121"/>
    <w:rsid w:val="00F41689"/>
    <w:rsid w:val="00F41B6E"/>
    <w:rsid w:val="00F42C1B"/>
    <w:rsid w:val="00F455D3"/>
    <w:rsid w:val="00F47A97"/>
    <w:rsid w:val="00F5132B"/>
    <w:rsid w:val="00F518B8"/>
    <w:rsid w:val="00F51E30"/>
    <w:rsid w:val="00F541FC"/>
    <w:rsid w:val="00F54BFF"/>
    <w:rsid w:val="00F5609E"/>
    <w:rsid w:val="00F6384D"/>
    <w:rsid w:val="00F64315"/>
    <w:rsid w:val="00F64ADB"/>
    <w:rsid w:val="00F65786"/>
    <w:rsid w:val="00F714D5"/>
    <w:rsid w:val="00F7463B"/>
    <w:rsid w:val="00F75520"/>
    <w:rsid w:val="00F75941"/>
    <w:rsid w:val="00F809DA"/>
    <w:rsid w:val="00F80F4B"/>
    <w:rsid w:val="00F816A8"/>
    <w:rsid w:val="00F82D8D"/>
    <w:rsid w:val="00F85289"/>
    <w:rsid w:val="00F86A15"/>
    <w:rsid w:val="00F87F82"/>
    <w:rsid w:val="00F93D7A"/>
    <w:rsid w:val="00F95A41"/>
    <w:rsid w:val="00F95B93"/>
    <w:rsid w:val="00FA414E"/>
    <w:rsid w:val="00FB2B48"/>
    <w:rsid w:val="00FB43D5"/>
    <w:rsid w:val="00FB57CF"/>
    <w:rsid w:val="00FB7CC6"/>
    <w:rsid w:val="00FC339F"/>
    <w:rsid w:val="00FC3AC5"/>
    <w:rsid w:val="00FC4D20"/>
    <w:rsid w:val="00FC7C9F"/>
    <w:rsid w:val="00FD0E7F"/>
    <w:rsid w:val="00FD173F"/>
    <w:rsid w:val="00FD1EFB"/>
    <w:rsid w:val="00FD2A39"/>
    <w:rsid w:val="00FD6323"/>
    <w:rsid w:val="00FE243A"/>
    <w:rsid w:val="00FE34E7"/>
    <w:rsid w:val="00FE3F1F"/>
    <w:rsid w:val="00FE411B"/>
    <w:rsid w:val="00FE45F5"/>
    <w:rsid w:val="00FE7AA8"/>
    <w:rsid w:val="00FF054B"/>
    <w:rsid w:val="00FF1158"/>
    <w:rsid w:val="00FF2238"/>
    <w:rsid w:val="00FF30CC"/>
    <w:rsid w:val="00FF7224"/>
    <w:rsid w:val="013435B5"/>
    <w:rsid w:val="01514167"/>
    <w:rsid w:val="0177091F"/>
    <w:rsid w:val="01B22540"/>
    <w:rsid w:val="01BC61D3"/>
    <w:rsid w:val="0261582D"/>
    <w:rsid w:val="02A81142"/>
    <w:rsid w:val="030C4D04"/>
    <w:rsid w:val="031C0A54"/>
    <w:rsid w:val="037E1400"/>
    <w:rsid w:val="03B60BF9"/>
    <w:rsid w:val="03E30CEF"/>
    <w:rsid w:val="0404796C"/>
    <w:rsid w:val="04640655"/>
    <w:rsid w:val="04A171B4"/>
    <w:rsid w:val="05110085"/>
    <w:rsid w:val="052F373F"/>
    <w:rsid w:val="05B35B1C"/>
    <w:rsid w:val="05B95483"/>
    <w:rsid w:val="06033DBA"/>
    <w:rsid w:val="060B0AC8"/>
    <w:rsid w:val="069B7C33"/>
    <w:rsid w:val="06C61123"/>
    <w:rsid w:val="06D01A98"/>
    <w:rsid w:val="072B0FD2"/>
    <w:rsid w:val="0752046F"/>
    <w:rsid w:val="08860056"/>
    <w:rsid w:val="08D35DAA"/>
    <w:rsid w:val="09273A00"/>
    <w:rsid w:val="092F48EE"/>
    <w:rsid w:val="09360404"/>
    <w:rsid w:val="09575B5D"/>
    <w:rsid w:val="095A4209"/>
    <w:rsid w:val="095B457F"/>
    <w:rsid w:val="095C53A2"/>
    <w:rsid w:val="09ED5D15"/>
    <w:rsid w:val="0A28189D"/>
    <w:rsid w:val="0A516558"/>
    <w:rsid w:val="0AC9769D"/>
    <w:rsid w:val="0AD33E3F"/>
    <w:rsid w:val="0B941820"/>
    <w:rsid w:val="0BA96D59"/>
    <w:rsid w:val="0BB00445"/>
    <w:rsid w:val="0BD95485"/>
    <w:rsid w:val="0C244747"/>
    <w:rsid w:val="0C346B5F"/>
    <w:rsid w:val="0C383950"/>
    <w:rsid w:val="0C7909E1"/>
    <w:rsid w:val="0C8A388D"/>
    <w:rsid w:val="0D1E77D0"/>
    <w:rsid w:val="0D372063"/>
    <w:rsid w:val="0DA6583B"/>
    <w:rsid w:val="0E3C3A7A"/>
    <w:rsid w:val="0E557606"/>
    <w:rsid w:val="0EDD6A0A"/>
    <w:rsid w:val="0F2B66F0"/>
    <w:rsid w:val="0F440ECB"/>
    <w:rsid w:val="0F45027E"/>
    <w:rsid w:val="0F5A7E2F"/>
    <w:rsid w:val="0F8A024D"/>
    <w:rsid w:val="10014FAA"/>
    <w:rsid w:val="10822424"/>
    <w:rsid w:val="10A32B29"/>
    <w:rsid w:val="10D17073"/>
    <w:rsid w:val="115461DE"/>
    <w:rsid w:val="118A0866"/>
    <w:rsid w:val="11D7134B"/>
    <w:rsid w:val="11EE77B0"/>
    <w:rsid w:val="126637EB"/>
    <w:rsid w:val="12A06905"/>
    <w:rsid w:val="12ED0A11"/>
    <w:rsid w:val="131527F7"/>
    <w:rsid w:val="135042FE"/>
    <w:rsid w:val="13945293"/>
    <w:rsid w:val="143148FC"/>
    <w:rsid w:val="14382B9D"/>
    <w:rsid w:val="14464003"/>
    <w:rsid w:val="147C1A5D"/>
    <w:rsid w:val="14A167A8"/>
    <w:rsid w:val="15D356C2"/>
    <w:rsid w:val="16024156"/>
    <w:rsid w:val="16583AD2"/>
    <w:rsid w:val="16C1645F"/>
    <w:rsid w:val="170F26A3"/>
    <w:rsid w:val="1784067C"/>
    <w:rsid w:val="17E7140F"/>
    <w:rsid w:val="17EC6CE1"/>
    <w:rsid w:val="18537845"/>
    <w:rsid w:val="18812024"/>
    <w:rsid w:val="18EA6F23"/>
    <w:rsid w:val="191A0E8B"/>
    <w:rsid w:val="195C6593"/>
    <w:rsid w:val="197A541F"/>
    <w:rsid w:val="198E60E2"/>
    <w:rsid w:val="19AF0458"/>
    <w:rsid w:val="19E576EB"/>
    <w:rsid w:val="1A1047A5"/>
    <w:rsid w:val="1A1B5031"/>
    <w:rsid w:val="1A204CC3"/>
    <w:rsid w:val="1A6B57BD"/>
    <w:rsid w:val="1A781FC2"/>
    <w:rsid w:val="1AA65CA0"/>
    <w:rsid w:val="1ABF6AE9"/>
    <w:rsid w:val="1AF810A7"/>
    <w:rsid w:val="1B2A11C8"/>
    <w:rsid w:val="1B7A6323"/>
    <w:rsid w:val="1BE13EE2"/>
    <w:rsid w:val="1C247DB3"/>
    <w:rsid w:val="1C5309D0"/>
    <w:rsid w:val="1C7A39AA"/>
    <w:rsid w:val="1CBF5FD1"/>
    <w:rsid w:val="1CE720C5"/>
    <w:rsid w:val="1D4D7DE5"/>
    <w:rsid w:val="1DB4365C"/>
    <w:rsid w:val="1DD7431A"/>
    <w:rsid w:val="1E107175"/>
    <w:rsid w:val="1EB1403F"/>
    <w:rsid w:val="1F342632"/>
    <w:rsid w:val="1F631537"/>
    <w:rsid w:val="206369A2"/>
    <w:rsid w:val="20B6067F"/>
    <w:rsid w:val="21022F97"/>
    <w:rsid w:val="211508B6"/>
    <w:rsid w:val="214948EA"/>
    <w:rsid w:val="217C5CC6"/>
    <w:rsid w:val="219F1382"/>
    <w:rsid w:val="21B92FD8"/>
    <w:rsid w:val="224B759E"/>
    <w:rsid w:val="22985B91"/>
    <w:rsid w:val="22D311B7"/>
    <w:rsid w:val="22DA0392"/>
    <w:rsid w:val="231C0BDD"/>
    <w:rsid w:val="23265125"/>
    <w:rsid w:val="23703CE3"/>
    <w:rsid w:val="238577C8"/>
    <w:rsid w:val="23931070"/>
    <w:rsid w:val="241B015A"/>
    <w:rsid w:val="247C2650"/>
    <w:rsid w:val="24D62DBC"/>
    <w:rsid w:val="24E862E1"/>
    <w:rsid w:val="25735BDC"/>
    <w:rsid w:val="25D03D1F"/>
    <w:rsid w:val="25FA4A5F"/>
    <w:rsid w:val="2635356C"/>
    <w:rsid w:val="263A7F95"/>
    <w:rsid w:val="26733474"/>
    <w:rsid w:val="269A2BD0"/>
    <w:rsid w:val="26AF7E47"/>
    <w:rsid w:val="26DE4E5A"/>
    <w:rsid w:val="27256561"/>
    <w:rsid w:val="278A4F4F"/>
    <w:rsid w:val="2790738B"/>
    <w:rsid w:val="27B92902"/>
    <w:rsid w:val="27D843EB"/>
    <w:rsid w:val="28071641"/>
    <w:rsid w:val="2837747F"/>
    <w:rsid w:val="28AD4A90"/>
    <w:rsid w:val="28AF339E"/>
    <w:rsid w:val="290F2BBE"/>
    <w:rsid w:val="2937458F"/>
    <w:rsid w:val="29505BB6"/>
    <w:rsid w:val="29510675"/>
    <w:rsid w:val="297A29AC"/>
    <w:rsid w:val="29C7297D"/>
    <w:rsid w:val="29D65049"/>
    <w:rsid w:val="29F91D71"/>
    <w:rsid w:val="2A213A5C"/>
    <w:rsid w:val="2A785B1C"/>
    <w:rsid w:val="2AB90A5B"/>
    <w:rsid w:val="2AE72350"/>
    <w:rsid w:val="2B057BED"/>
    <w:rsid w:val="2B2C4034"/>
    <w:rsid w:val="2B333B57"/>
    <w:rsid w:val="2B3A1608"/>
    <w:rsid w:val="2CD150B5"/>
    <w:rsid w:val="2CF053BB"/>
    <w:rsid w:val="2D145079"/>
    <w:rsid w:val="2DA21448"/>
    <w:rsid w:val="2EDA6956"/>
    <w:rsid w:val="2F0B418A"/>
    <w:rsid w:val="2F2C0527"/>
    <w:rsid w:val="2F715851"/>
    <w:rsid w:val="2FB27E4F"/>
    <w:rsid w:val="2FE771EF"/>
    <w:rsid w:val="30801AC4"/>
    <w:rsid w:val="30F921FF"/>
    <w:rsid w:val="31223D8E"/>
    <w:rsid w:val="314A6FA9"/>
    <w:rsid w:val="31525940"/>
    <w:rsid w:val="31892086"/>
    <w:rsid w:val="31B9570E"/>
    <w:rsid w:val="31E56082"/>
    <w:rsid w:val="324A361F"/>
    <w:rsid w:val="33902F0D"/>
    <w:rsid w:val="33F60D22"/>
    <w:rsid w:val="35117C2D"/>
    <w:rsid w:val="351948B4"/>
    <w:rsid w:val="35951B6D"/>
    <w:rsid w:val="35BC7DA3"/>
    <w:rsid w:val="35C97A69"/>
    <w:rsid w:val="361B05FA"/>
    <w:rsid w:val="36421605"/>
    <w:rsid w:val="366C36A4"/>
    <w:rsid w:val="369A69D4"/>
    <w:rsid w:val="373D24BC"/>
    <w:rsid w:val="376D0FF4"/>
    <w:rsid w:val="376D439E"/>
    <w:rsid w:val="37E16DD4"/>
    <w:rsid w:val="382159A5"/>
    <w:rsid w:val="38CC7F9C"/>
    <w:rsid w:val="38FE732B"/>
    <w:rsid w:val="39B22A91"/>
    <w:rsid w:val="39C55B18"/>
    <w:rsid w:val="39D577A2"/>
    <w:rsid w:val="3A8F2B4A"/>
    <w:rsid w:val="3A9D32C7"/>
    <w:rsid w:val="3AB829F7"/>
    <w:rsid w:val="3AB92547"/>
    <w:rsid w:val="3BB13444"/>
    <w:rsid w:val="3C1001A0"/>
    <w:rsid w:val="3C1F267C"/>
    <w:rsid w:val="3C502C92"/>
    <w:rsid w:val="3C616D8E"/>
    <w:rsid w:val="3CE45C48"/>
    <w:rsid w:val="3CED552F"/>
    <w:rsid w:val="3E0E4B26"/>
    <w:rsid w:val="3E230E95"/>
    <w:rsid w:val="3E612578"/>
    <w:rsid w:val="3E637518"/>
    <w:rsid w:val="3EB51938"/>
    <w:rsid w:val="3EBE02E5"/>
    <w:rsid w:val="3F3D69D8"/>
    <w:rsid w:val="3FA70E1B"/>
    <w:rsid w:val="3FCB32D7"/>
    <w:rsid w:val="402C7608"/>
    <w:rsid w:val="4111570B"/>
    <w:rsid w:val="412A1D04"/>
    <w:rsid w:val="4166155E"/>
    <w:rsid w:val="41CD1BC4"/>
    <w:rsid w:val="41E719A3"/>
    <w:rsid w:val="41F90FFE"/>
    <w:rsid w:val="427B1BF0"/>
    <w:rsid w:val="427B20EB"/>
    <w:rsid w:val="42CF711C"/>
    <w:rsid w:val="42F05741"/>
    <w:rsid w:val="443A4CDE"/>
    <w:rsid w:val="444A6219"/>
    <w:rsid w:val="44723385"/>
    <w:rsid w:val="4488404B"/>
    <w:rsid w:val="44D04970"/>
    <w:rsid w:val="452007E8"/>
    <w:rsid w:val="456448D5"/>
    <w:rsid w:val="456901F8"/>
    <w:rsid w:val="46733E7C"/>
    <w:rsid w:val="473016F6"/>
    <w:rsid w:val="47336D14"/>
    <w:rsid w:val="4746216D"/>
    <w:rsid w:val="475E2707"/>
    <w:rsid w:val="4760647F"/>
    <w:rsid w:val="477450C3"/>
    <w:rsid w:val="47B92C30"/>
    <w:rsid w:val="47D74267"/>
    <w:rsid w:val="47F60B91"/>
    <w:rsid w:val="48763A80"/>
    <w:rsid w:val="4885371F"/>
    <w:rsid w:val="48B620CF"/>
    <w:rsid w:val="49C44385"/>
    <w:rsid w:val="4A1B758F"/>
    <w:rsid w:val="4A652840"/>
    <w:rsid w:val="4A760783"/>
    <w:rsid w:val="4A8F47FD"/>
    <w:rsid w:val="4A981A8C"/>
    <w:rsid w:val="4AEE405B"/>
    <w:rsid w:val="4B576C24"/>
    <w:rsid w:val="4B816E11"/>
    <w:rsid w:val="4BAC7EBB"/>
    <w:rsid w:val="4BD33423"/>
    <w:rsid w:val="4BD641B5"/>
    <w:rsid w:val="4BDF36EB"/>
    <w:rsid w:val="4BE07B8E"/>
    <w:rsid w:val="4C012815"/>
    <w:rsid w:val="4C7F44A9"/>
    <w:rsid w:val="4C861275"/>
    <w:rsid w:val="4CBB6583"/>
    <w:rsid w:val="4CFC27DA"/>
    <w:rsid w:val="4D3006A2"/>
    <w:rsid w:val="4D430005"/>
    <w:rsid w:val="4D4952BF"/>
    <w:rsid w:val="4F2B7C30"/>
    <w:rsid w:val="4F301C77"/>
    <w:rsid w:val="4F4E1D79"/>
    <w:rsid w:val="4F766114"/>
    <w:rsid w:val="4F9B4DB7"/>
    <w:rsid w:val="4FC43323"/>
    <w:rsid w:val="4FFF3D42"/>
    <w:rsid w:val="50A266F6"/>
    <w:rsid w:val="50DE3666"/>
    <w:rsid w:val="50E76C87"/>
    <w:rsid w:val="50FF61F0"/>
    <w:rsid w:val="51053BF3"/>
    <w:rsid w:val="51335602"/>
    <w:rsid w:val="51DF20F3"/>
    <w:rsid w:val="51E56F13"/>
    <w:rsid w:val="52202A69"/>
    <w:rsid w:val="524046A4"/>
    <w:rsid w:val="52661A0C"/>
    <w:rsid w:val="527E5A0B"/>
    <w:rsid w:val="528172AA"/>
    <w:rsid w:val="52A35741"/>
    <w:rsid w:val="52B60C24"/>
    <w:rsid w:val="52D0335D"/>
    <w:rsid w:val="52DE51F8"/>
    <w:rsid w:val="53AA789D"/>
    <w:rsid w:val="53BD2563"/>
    <w:rsid w:val="5478735D"/>
    <w:rsid w:val="547F5CB7"/>
    <w:rsid w:val="549372FC"/>
    <w:rsid w:val="54C16D85"/>
    <w:rsid w:val="551408A9"/>
    <w:rsid w:val="56284F3F"/>
    <w:rsid w:val="566B44F9"/>
    <w:rsid w:val="569B6997"/>
    <w:rsid w:val="56F049FE"/>
    <w:rsid w:val="57272B15"/>
    <w:rsid w:val="57723665"/>
    <w:rsid w:val="5796777D"/>
    <w:rsid w:val="58333986"/>
    <w:rsid w:val="58624824"/>
    <w:rsid w:val="5903162E"/>
    <w:rsid w:val="59455703"/>
    <w:rsid w:val="599F0FC0"/>
    <w:rsid w:val="59B60181"/>
    <w:rsid w:val="59CF64A7"/>
    <w:rsid w:val="59DE4723"/>
    <w:rsid w:val="59E545C2"/>
    <w:rsid w:val="5A7A1749"/>
    <w:rsid w:val="5B0A00B4"/>
    <w:rsid w:val="5B1E10CA"/>
    <w:rsid w:val="5B335DC2"/>
    <w:rsid w:val="5B4050E3"/>
    <w:rsid w:val="5BA1276A"/>
    <w:rsid w:val="5C1F1D32"/>
    <w:rsid w:val="5CAA6E48"/>
    <w:rsid w:val="5CC6692D"/>
    <w:rsid w:val="5D8660BC"/>
    <w:rsid w:val="5D8E5342"/>
    <w:rsid w:val="5D962F27"/>
    <w:rsid w:val="5DC859BC"/>
    <w:rsid w:val="5DE54656"/>
    <w:rsid w:val="5E0574C6"/>
    <w:rsid w:val="5E862603"/>
    <w:rsid w:val="5E8C6DB3"/>
    <w:rsid w:val="5F0A367E"/>
    <w:rsid w:val="5F0C164B"/>
    <w:rsid w:val="5F3F18FC"/>
    <w:rsid w:val="5F4356CD"/>
    <w:rsid w:val="5F5463D9"/>
    <w:rsid w:val="5FE10B3E"/>
    <w:rsid w:val="5FE144C5"/>
    <w:rsid w:val="6098238E"/>
    <w:rsid w:val="60E11CE0"/>
    <w:rsid w:val="619066F0"/>
    <w:rsid w:val="61C32834"/>
    <w:rsid w:val="61C94AD0"/>
    <w:rsid w:val="61DB4E56"/>
    <w:rsid w:val="61E35305"/>
    <w:rsid w:val="62173C11"/>
    <w:rsid w:val="62AB08FB"/>
    <w:rsid w:val="62D858DE"/>
    <w:rsid w:val="62D90A3C"/>
    <w:rsid w:val="630003F4"/>
    <w:rsid w:val="633D669B"/>
    <w:rsid w:val="63A86D8C"/>
    <w:rsid w:val="640D4E41"/>
    <w:rsid w:val="6421340B"/>
    <w:rsid w:val="64790E10"/>
    <w:rsid w:val="64F560C3"/>
    <w:rsid w:val="6558690C"/>
    <w:rsid w:val="656A2163"/>
    <w:rsid w:val="65E2722E"/>
    <w:rsid w:val="65F23812"/>
    <w:rsid w:val="66315BA6"/>
    <w:rsid w:val="66694CFB"/>
    <w:rsid w:val="66955A07"/>
    <w:rsid w:val="66F70FB4"/>
    <w:rsid w:val="67020A40"/>
    <w:rsid w:val="6734111D"/>
    <w:rsid w:val="673A54A9"/>
    <w:rsid w:val="6789362B"/>
    <w:rsid w:val="67B2295F"/>
    <w:rsid w:val="68172D06"/>
    <w:rsid w:val="68662D72"/>
    <w:rsid w:val="68684D3C"/>
    <w:rsid w:val="68700739"/>
    <w:rsid w:val="68731C6D"/>
    <w:rsid w:val="68C47FF6"/>
    <w:rsid w:val="68DD19BF"/>
    <w:rsid w:val="68F13263"/>
    <w:rsid w:val="69456E2B"/>
    <w:rsid w:val="69E653AA"/>
    <w:rsid w:val="69F66C81"/>
    <w:rsid w:val="6A49159A"/>
    <w:rsid w:val="6A5C267E"/>
    <w:rsid w:val="6A872468"/>
    <w:rsid w:val="6AA81BDD"/>
    <w:rsid w:val="6B813877"/>
    <w:rsid w:val="6BA378E4"/>
    <w:rsid w:val="6BB15BCE"/>
    <w:rsid w:val="6BBC6F66"/>
    <w:rsid w:val="6BBD5FD1"/>
    <w:rsid w:val="6BC26511"/>
    <w:rsid w:val="6C0D792D"/>
    <w:rsid w:val="6C9B584D"/>
    <w:rsid w:val="6C9D1EB4"/>
    <w:rsid w:val="6CEA3EB0"/>
    <w:rsid w:val="6CF61743"/>
    <w:rsid w:val="6D5B6ABA"/>
    <w:rsid w:val="6D7D3438"/>
    <w:rsid w:val="6DAD68D9"/>
    <w:rsid w:val="6DD17DDB"/>
    <w:rsid w:val="6DE31F1F"/>
    <w:rsid w:val="6DF26A1A"/>
    <w:rsid w:val="6E2E4332"/>
    <w:rsid w:val="6E3B2083"/>
    <w:rsid w:val="6EA97E5C"/>
    <w:rsid w:val="6EAC5256"/>
    <w:rsid w:val="6ED22F0F"/>
    <w:rsid w:val="6EE15E71"/>
    <w:rsid w:val="6EF31AC0"/>
    <w:rsid w:val="6F0914AB"/>
    <w:rsid w:val="6F472E41"/>
    <w:rsid w:val="6FE949B4"/>
    <w:rsid w:val="701D226A"/>
    <w:rsid w:val="705302F0"/>
    <w:rsid w:val="70944D11"/>
    <w:rsid w:val="70E5651A"/>
    <w:rsid w:val="71542301"/>
    <w:rsid w:val="722841E0"/>
    <w:rsid w:val="722A54E3"/>
    <w:rsid w:val="7252306F"/>
    <w:rsid w:val="7254000E"/>
    <w:rsid w:val="72943F26"/>
    <w:rsid w:val="730B4C41"/>
    <w:rsid w:val="73B97E6F"/>
    <w:rsid w:val="74377E76"/>
    <w:rsid w:val="74B20C36"/>
    <w:rsid w:val="74C014F1"/>
    <w:rsid w:val="74E90FBD"/>
    <w:rsid w:val="74FB2401"/>
    <w:rsid w:val="762A7AD4"/>
    <w:rsid w:val="76FA0517"/>
    <w:rsid w:val="77216E4C"/>
    <w:rsid w:val="77731684"/>
    <w:rsid w:val="77E12415"/>
    <w:rsid w:val="78571A6E"/>
    <w:rsid w:val="785F7A5B"/>
    <w:rsid w:val="789E0306"/>
    <w:rsid w:val="78B71B49"/>
    <w:rsid w:val="790C2D19"/>
    <w:rsid w:val="793F4D3F"/>
    <w:rsid w:val="794A52AF"/>
    <w:rsid w:val="79DA2ADB"/>
    <w:rsid w:val="79DC10E6"/>
    <w:rsid w:val="7A824ED6"/>
    <w:rsid w:val="7B12003E"/>
    <w:rsid w:val="7B5A6766"/>
    <w:rsid w:val="7B8E5AC5"/>
    <w:rsid w:val="7BBD33E8"/>
    <w:rsid w:val="7BC72A14"/>
    <w:rsid w:val="7BD7220B"/>
    <w:rsid w:val="7C02168A"/>
    <w:rsid w:val="7C605268"/>
    <w:rsid w:val="7CC55E61"/>
    <w:rsid w:val="7CD86EA4"/>
    <w:rsid w:val="7D2C1A66"/>
    <w:rsid w:val="7E21356B"/>
    <w:rsid w:val="7E887DCA"/>
    <w:rsid w:val="7FA66270"/>
    <w:rsid w:val="7FBB64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直接箭头连接符 1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8">
    <w:name w:val="heading 1"/>
    <w:basedOn w:val="1"/>
    <w:next w:val="1"/>
    <w:link w:val="29"/>
    <w:qFormat/>
    <w:uiPriority w:val="9"/>
    <w:pPr>
      <w:keepNext/>
      <w:keepLines/>
      <w:spacing w:after="0"/>
      <w:outlineLvl w:val="0"/>
    </w:pPr>
    <w:rPr>
      <w:rFonts w:eastAsia="宋体"/>
      <w:b/>
      <w:bCs/>
      <w:kern w:val="44"/>
      <w:sz w:val="28"/>
      <w:szCs w:val="44"/>
    </w:rPr>
  </w:style>
  <w:style w:type="paragraph" w:styleId="9">
    <w:name w:val="heading 2"/>
    <w:basedOn w:val="1"/>
    <w:next w:val="1"/>
    <w:link w:val="37"/>
    <w:unhideWhenUsed/>
    <w:qFormat/>
    <w:uiPriority w:val="9"/>
    <w:pPr>
      <w:keepNext/>
      <w:keepLines/>
      <w:spacing w:after="0" w:line="360" w:lineRule="auto"/>
      <w:outlineLvl w:val="1"/>
    </w:pPr>
    <w:rPr>
      <w:rFonts w:asciiTheme="majorHAnsi" w:hAnsiTheme="majorHAnsi" w:eastAsiaTheme="majorEastAsia" w:cstheme="majorBidi"/>
      <w:b/>
      <w:bCs/>
      <w:sz w:val="24"/>
      <w:szCs w:val="32"/>
    </w:rPr>
  </w:style>
  <w:style w:type="paragraph" w:styleId="10">
    <w:name w:val="heading 3"/>
    <w:basedOn w:val="1"/>
    <w:next w:val="1"/>
    <w:link w:val="30"/>
    <w:unhideWhenUsed/>
    <w:qFormat/>
    <w:uiPriority w:val="9"/>
    <w:pPr>
      <w:keepNext/>
      <w:keepLines/>
      <w:spacing w:before="260" w:after="260" w:line="416" w:lineRule="auto"/>
      <w:outlineLvl w:val="2"/>
    </w:pPr>
    <w:rPr>
      <w:rFonts w:eastAsia="宋体"/>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50"/>
    <w:qFormat/>
    <w:uiPriority w:val="0"/>
    <w:pPr>
      <w:widowControl w:val="0"/>
      <w:adjustRightInd/>
      <w:snapToGrid/>
      <w:ind w:firstLine="420" w:firstLineChars="200"/>
      <w:jc w:val="both"/>
    </w:pPr>
    <w:rPr>
      <w:rFonts w:ascii="Times New Roman" w:hAnsi="Times New Roman" w:cs="Times New Roman"/>
      <w:kern w:val="2"/>
      <w:sz w:val="21"/>
    </w:rPr>
  </w:style>
  <w:style w:type="paragraph" w:styleId="3">
    <w:name w:val="Body Text Indent"/>
    <w:basedOn w:val="1"/>
    <w:next w:val="4"/>
    <w:link w:val="49"/>
    <w:unhideWhenUsed/>
    <w:qFormat/>
    <w:uiPriority w:val="99"/>
    <w:pPr>
      <w:spacing w:after="120"/>
      <w:ind w:left="420" w:leftChars="200"/>
    </w:pPr>
    <w:rPr>
      <w:rFonts w:eastAsia="宋体"/>
      <w:sz w:val="20"/>
      <w:szCs w:val="20"/>
    </w:rPr>
  </w:style>
  <w:style w:type="paragraph" w:styleId="4">
    <w:name w:val="header"/>
    <w:basedOn w:val="1"/>
    <w:next w:val="5"/>
    <w:link w:val="39"/>
    <w:unhideWhenUsed/>
    <w:qFormat/>
    <w:uiPriority w:val="99"/>
    <w:pPr>
      <w:pBdr>
        <w:bottom w:val="single" w:color="auto" w:sz="6" w:space="1"/>
      </w:pBdr>
      <w:tabs>
        <w:tab w:val="center" w:pos="4153"/>
        <w:tab w:val="right" w:pos="8306"/>
      </w:tabs>
      <w:jc w:val="center"/>
    </w:pPr>
    <w:rPr>
      <w:sz w:val="18"/>
      <w:szCs w:val="18"/>
    </w:rPr>
  </w:style>
  <w:style w:type="paragraph" w:customStyle="1" w:styleId="5">
    <w:name w:val="样式5"/>
    <w:basedOn w:val="6"/>
    <w:qFormat/>
    <w:uiPriority w:val="0"/>
    <w:pPr>
      <w:spacing w:beforeLines="20" w:afterLines="20" w:line="480" w:lineRule="exact"/>
      <w:ind w:firstLine="523" w:firstLineChars="218"/>
      <w:jc w:val="both"/>
    </w:pPr>
    <w:rPr>
      <w:i/>
      <w:iCs/>
      <w:kern w:val="2"/>
      <w:sz w:val="24"/>
      <w:szCs w:val="20"/>
    </w:rPr>
  </w:style>
  <w:style w:type="paragraph" w:styleId="6">
    <w:name w:val="Body Text"/>
    <w:basedOn w:val="1"/>
    <w:next w:val="7"/>
    <w:link w:val="61"/>
    <w:semiHidden/>
    <w:unhideWhenUsed/>
    <w:qFormat/>
    <w:uiPriority w:val="99"/>
    <w:pPr>
      <w:spacing w:after="120"/>
    </w:pPr>
  </w:style>
  <w:style w:type="paragraph" w:styleId="7">
    <w:name w:val="Body Text 3"/>
    <w:basedOn w:val="1"/>
    <w:next w:val="1"/>
    <w:qFormat/>
    <w:uiPriority w:val="0"/>
    <w:pPr>
      <w:spacing w:after="120" w:line="540" w:lineRule="exact"/>
      <w:ind w:firstLine="200" w:firstLineChars="200"/>
    </w:pPr>
    <w:rPr>
      <w:rFonts w:eastAsia="仿宋_GB2312"/>
      <w:sz w:val="16"/>
      <w:szCs w:val="16"/>
    </w:rPr>
  </w:style>
  <w:style w:type="paragraph" w:styleId="11">
    <w:name w:val="Normal Indent"/>
    <w:basedOn w:val="1"/>
    <w:link w:val="54"/>
    <w:qFormat/>
    <w:uiPriority w:val="0"/>
    <w:pPr>
      <w:widowControl w:val="0"/>
      <w:adjustRightInd/>
      <w:snapToGrid/>
      <w:spacing w:after="0"/>
      <w:ind w:firstLine="420" w:firstLineChars="200"/>
      <w:jc w:val="both"/>
    </w:pPr>
    <w:rPr>
      <w:rFonts w:ascii="Times New Roman" w:hAnsi="Times New Roman" w:eastAsia="宋体"/>
      <w:color w:val="000000"/>
      <w:kern w:val="2"/>
      <w:sz w:val="21"/>
      <w:szCs w:val="24"/>
    </w:rPr>
  </w:style>
  <w:style w:type="paragraph" w:styleId="12">
    <w:name w:val="annotation text"/>
    <w:basedOn w:val="1"/>
    <w:link w:val="46"/>
    <w:unhideWhenUsed/>
    <w:qFormat/>
    <w:uiPriority w:val="99"/>
    <w:pPr>
      <w:widowControl w:val="0"/>
      <w:adjustRightInd/>
      <w:snapToGrid/>
      <w:spacing w:after="0"/>
    </w:pPr>
    <w:rPr>
      <w:rFonts w:ascii="Times New Roman" w:hAnsi="Times New Roman" w:eastAsia="宋体" w:cs="Times New Roman"/>
      <w:kern w:val="2"/>
      <w:sz w:val="21"/>
      <w:szCs w:val="24"/>
    </w:rPr>
  </w:style>
  <w:style w:type="paragraph" w:styleId="13">
    <w:name w:val="Plain Text"/>
    <w:basedOn w:val="1"/>
    <w:link w:val="45"/>
    <w:qFormat/>
    <w:uiPriority w:val="0"/>
    <w:pPr>
      <w:widowControl w:val="0"/>
      <w:adjustRightInd/>
      <w:snapToGrid/>
      <w:spacing w:after="0"/>
      <w:jc w:val="both"/>
    </w:pPr>
    <w:rPr>
      <w:rFonts w:ascii="宋体" w:hAnsi="Courier New" w:eastAsia="宋体" w:cs="Courier New"/>
      <w:sz w:val="21"/>
      <w:szCs w:val="21"/>
    </w:rPr>
  </w:style>
  <w:style w:type="paragraph" w:styleId="14">
    <w:name w:val="List Bullet 5"/>
    <w:basedOn w:val="1"/>
    <w:semiHidden/>
    <w:unhideWhenUsed/>
    <w:qFormat/>
    <w:uiPriority w:val="99"/>
    <w:pPr>
      <w:numPr>
        <w:ilvl w:val="0"/>
        <w:numId w:val="1"/>
      </w:numPr>
    </w:pPr>
  </w:style>
  <w:style w:type="paragraph" w:styleId="15">
    <w:name w:val="Balloon Text"/>
    <w:basedOn w:val="1"/>
    <w:link w:val="41"/>
    <w:semiHidden/>
    <w:unhideWhenUsed/>
    <w:qFormat/>
    <w:uiPriority w:val="99"/>
    <w:pPr>
      <w:spacing w:after="0"/>
    </w:pPr>
    <w:rPr>
      <w:sz w:val="18"/>
      <w:szCs w:val="18"/>
    </w:rPr>
  </w:style>
  <w:style w:type="paragraph" w:styleId="16">
    <w:name w:val="footer"/>
    <w:basedOn w:val="1"/>
    <w:link w:val="34"/>
    <w:qFormat/>
    <w:uiPriority w:val="99"/>
    <w:pPr>
      <w:tabs>
        <w:tab w:val="center" w:pos="4153"/>
        <w:tab w:val="right" w:pos="8306"/>
      </w:tabs>
    </w:pPr>
    <w:rPr>
      <w:rFonts w:eastAsia="宋体"/>
      <w:sz w:val="18"/>
      <w:szCs w:val="18"/>
    </w:rPr>
  </w:style>
  <w:style w:type="paragraph" w:styleId="17">
    <w:name w:val="toc 1"/>
    <w:basedOn w:val="1"/>
    <w:next w:val="1"/>
    <w:unhideWhenUsed/>
    <w:qFormat/>
    <w:uiPriority w:val="39"/>
    <w:pPr>
      <w:widowControl w:val="0"/>
      <w:tabs>
        <w:tab w:val="right" w:leader="dot" w:pos="9016"/>
      </w:tabs>
      <w:adjustRightInd/>
      <w:snapToGrid/>
      <w:spacing w:after="0" w:line="360" w:lineRule="auto"/>
      <w:jc w:val="both"/>
    </w:pPr>
    <w:rPr>
      <w:rFonts w:ascii="Times New Roman" w:hAnsi="Times New Roman" w:eastAsiaTheme="minorEastAsia"/>
      <w:b/>
      <w:kern w:val="2"/>
      <w:sz w:val="24"/>
    </w:rPr>
  </w:style>
  <w:style w:type="paragraph" w:styleId="18">
    <w:name w:val="List"/>
    <w:basedOn w:val="1"/>
    <w:qFormat/>
    <w:uiPriority w:val="0"/>
    <w:pPr>
      <w:widowControl w:val="0"/>
      <w:adjustRightInd/>
      <w:snapToGrid/>
      <w:spacing w:after="0" w:line="360" w:lineRule="exact"/>
      <w:jc w:val="center"/>
    </w:pPr>
    <w:rPr>
      <w:rFonts w:ascii="仿宋_GB2312" w:hAnsi="Times New Roman" w:eastAsia="仿宋_GB2312" w:cs="Times New Roman"/>
      <w:kern w:val="2"/>
      <w:sz w:val="28"/>
      <w:szCs w:val="20"/>
    </w:rPr>
  </w:style>
  <w:style w:type="paragraph" w:styleId="19">
    <w:name w:val="toc 2"/>
    <w:basedOn w:val="1"/>
    <w:next w:val="1"/>
    <w:unhideWhenUsed/>
    <w:qFormat/>
    <w:uiPriority w:val="39"/>
    <w:pPr>
      <w:widowControl w:val="0"/>
      <w:tabs>
        <w:tab w:val="right" w:leader="dot" w:pos="9016"/>
      </w:tabs>
      <w:adjustRightInd/>
      <w:snapToGrid/>
      <w:spacing w:after="0" w:line="360" w:lineRule="auto"/>
      <w:ind w:firstLine="480" w:firstLineChars="200"/>
      <w:jc w:val="both"/>
    </w:pPr>
    <w:rPr>
      <w:rFonts w:ascii="Times New Roman" w:hAnsi="Times New Roman" w:eastAsiaTheme="minorEastAsia"/>
      <w:kern w:val="2"/>
      <w:sz w:val="24"/>
    </w:rPr>
  </w:style>
  <w:style w:type="paragraph" w:styleId="20">
    <w:name w:val="Normal (Web)"/>
    <w:basedOn w:val="1"/>
    <w:semiHidden/>
    <w:unhideWhenUsed/>
    <w:qFormat/>
    <w:uiPriority w:val="99"/>
    <w:pPr>
      <w:spacing w:beforeAutospacing="1" w:after="0" w:afterAutospacing="1"/>
    </w:pPr>
    <w:rPr>
      <w:rFonts w:cs="Times New Roman"/>
      <w:sz w:val="24"/>
    </w:rPr>
  </w:style>
  <w:style w:type="paragraph" w:styleId="21">
    <w:name w:val="Title"/>
    <w:basedOn w:val="1"/>
    <w:next w:val="1"/>
    <w:link w:val="38"/>
    <w:qFormat/>
    <w:uiPriority w:val="10"/>
    <w:pPr>
      <w:spacing w:before="240" w:after="60"/>
      <w:outlineLvl w:val="0"/>
    </w:pPr>
    <w:rPr>
      <w:rFonts w:eastAsia="宋体" w:asciiTheme="majorHAnsi" w:hAnsiTheme="majorHAnsi" w:cstheme="majorBidi"/>
      <w:b/>
      <w:bCs/>
      <w:sz w:val="32"/>
      <w:szCs w:val="32"/>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22"/>
    <w:rPr>
      <w:b/>
    </w:rPr>
  </w:style>
  <w:style w:type="character" w:styleId="26">
    <w:name w:val="page number"/>
    <w:basedOn w:val="24"/>
    <w:qFormat/>
    <w:uiPriority w:val="0"/>
  </w:style>
  <w:style w:type="character" w:styleId="27">
    <w:name w:val="Hyperlink"/>
    <w:basedOn w:val="24"/>
    <w:unhideWhenUsed/>
    <w:qFormat/>
    <w:uiPriority w:val="99"/>
    <w:rPr>
      <w:color w:val="0000FF" w:themeColor="hyperlink"/>
      <w:u w:val="single"/>
    </w:rPr>
  </w:style>
  <w:style w:type="character" w:styleId="28">
    <w:name w:val="annotation reference"/>
    <w:basedOn w:val="24"/>
    <w:unhideWhenUsed/>
    <w:qFormat/>
    <w:uiPriority w:val="0"/>
    <w:rPr>
      <w:sz w:val="21"/>
      <w:szCs w:val="21"/>
    </w:rPr>
  </w:style>
  <w:style w:type="character" w:customStyle="1" w:styleId="29">
    <w:name w:val="标题 1 Char"/>
    <w:basedOn w:val="24"/>
    <w:link w:val="8"/>
    <w:qFormat/>
    <w:uiPriority w:val="9"/>
    <w:rPr>
      <w:rFonts w:ascii="Tahoma" w:hAnsi="Tahoma" w:eastAsia="宋体"/>
      <w:b/>
      <w:bCs/>
      <w:kern w:val="44"/>
      <w:sz w:val="28"/>
      <w:szCs w:val="44"/>
    </w:rPr>
  </w:style>
  <w:style w:type="character" w:customStyle="1" w:styleId="30">
    <w:name w:val="标题 3 Char"/>
    <w:basedOn w:val="24"/>
    <w:link w:val="10"/>
    <w:qFormat/>
    <w:uiPriority w:val="9"/>
    <w:rPr>
      <w:rFonts w:ascii="Tahoma" w:hAnsi="Tahoma"/>
      <w:b/>
      <w:bCs/>
      <w:sz w:val="32"/>
      <w:szCs w:val="32"/>
    </w:rPr>
  </w:style>
  <w:style w:type="paragraph" w:customStyle="1" w:styleId="31">
    <w:name w:val="正文1"/>
    <w:basedOn w:val="1"/>
    <w:next w:val="1"/>
    <w:qFormat/>
    <w:uiPriority w:val="0"/>
    <w:pPr>
      <w:spacing w:line="360" w:lineRule="auto"/>
      <w:ind w:firstLine="482"/>
    </w:pPr>
    <w:rPr>
      <w:snapToGrid w:val="0"/>
    </w:rPr>
  </w:style>
  <w:style w:type="paragraph" w:customStyle="1" w:styleId="32">
    <w:name w:val="样式 正文文本缩进 + 行距: 1.5 倍行距"/>
    <w:basedOn w:val="1"/>
    <w:qFormat/>
    <w:uiPriority w:val="0"/>
    <w:pPr>
      <w:spacing w:after="120" w:line="360" w:lineRule="auto"/>
      <w:ind w:left="90" w:leftChars="32" w:firstLine="560" w:firstLineChars="200"/>
    </w:pPr>
    <w:rPr>
      <w:rFonts w:ascii="Calibri" w:hAnsi="Calibri" w:eastAsia="宋体" w:cs="宋体"/>
    </w:rPr>
  </w:style>
  <w:style w:type="character" w:customStyle="1" w:styleId="33">
    <w:name w:val="页脚 Char"/>
    <w:qFormat/>
    <w:uiPriority w:val="99"/>
    <w:rPr>
      <w:rFonts w:ascii="Tahoma" w:hAnsi="Tahoma"/>
      <w:sz w:val="18"/>
      <w:szCs w:val="18"/>
    </w:rPr>
  </w:style>
  <w:style w:type="character" w:customStyle="1" w:styleId="34">
    <w:name w:val="页脚 Char1"/>
    <w:basedOn w:val="24"/>
    <w:link w:val="16"/>
    <w:qFormat/>
    <w:uiPriority w:val="99"/>
    <w:rPr>
      <w:rFonts w:ascii="Tahoma" w:hAnsi="Tahoma"/>
      <w:sz w:val="18"/>
      <w:szCs w:val="18"/>
    </w:rPr>
  </w:style>
  <w:style w:type="paragraph" w:styleId="35">
    <w:name w:val="List Paragraph"/>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0"/>
    </w:rPr>
  </w:style>
  <w:style w:type="paragraph" w:styleId="36">
    <w:name w:val="No Spacing"/>
    <w:qFormat/>
    <w:uiPriority w:val="1"/>
    <w:pPr>
      <w:adjustRightInd w:val="0"/>
      <w:snapToGrid w:val="0"/>
    </w:pPr>
    <w:rPr>
      <w:rFonts w:ascii="Tahoma" w:hAnsi="Tahoma" w:eastAsia="微软雅黑" w:cstheme="minorBidi"/>
      <w:sz w:val="22"/>
      <w:szCs w:val="22"/>
      <w:lang w:val="en-US" w:eastAsia="zh-CN" w:bidi="ar-SA"/>
    </w:rPr>
  </w:style>
  <w:style w:type="character" w:customStyle="1" w:styleId="37">
    <w:name w:val="标题 2 Char"/>
    <w:basedOn w:val="24"/>
    <w:link w:val="9"/>
    <w:qFormat/>
    <w:uiPriority w:val="9"/>
    <w:rPr>
      <w:rFonts w:asciiTheme="majorHAnsi" w:hAnsiTheme="majorHAnsi" w:eastAsiaTheme="majorEastAsia" w:cstheme="majorBidi"/>
      <w:b/>
      <w:bCs/>
      <w:sz w:val="24"/>
      <w:szCs w:val="32"/>
    </w:rPr>
  </w:style>
  <w:style w:type="character" w:customStyle="1" w:styleId="38">
    <w:name w:val="标题 Char"/>
    <w:basedOn w:val="24"/>
    <w:link w:val="21"/>
    <w:qFormat/>
    <w:uiPriority w:val="10"/>
    <w:rPr>
      <w:rFonts w:eastAsia="宋体" w:asciiTheme="majorHAnsi" w:hAnsiTheme="majorHAnsi" w:cstheme="majorBidi"/>
      <w:b/>
      <w:bCs/>
      <w:sz w:val="32"/>
      <w:szCs w:val="32"/>
    </w:rPr>
  </w:style>
  <w:style w:type="character" w:customStyle="1" w:styleId="39">
    <w:name w:val="页眉 Char"/>
    <w:basedOn w:val="24"/>
    <w:link w:val="4"/>
    <w:qFormat/>
    <w:uiPriority w:val="99"/>
    <w:rPr>
      <w:rFonts w:ascii="Tahoma" w:hAnsi="Tahoma" w:eastAsia="微软雅黑"/>
      <w:sz w:val="18"/>
      <w:szCs w:val="18"/>
    </w:rPr>
  </w:style>
  <w:style w:type="paragraph" w:customStyle="1" w:styleId="40">
    <w:name w:val="Table Paragraph"/>
    <w:basedOn w:val="1"/>
    <w:qFormat/>
    <w:uiPriority w:val="1"/>
    <w:pPr>
      <w:widowControl w:val="0"/>
      <w:autoSpaceDE w:val="0"/>
      <w:autoSpaceDN w:val="0"/>
      <w:snapToGrid/>
      <w:spacing w:after="0" w:line="360" w:lineRule="auto"/>
      <w:ind w:firstLine="200" w:firstLineChars="200"/>
    </w:pPr>
    <w:rPr>
      <w:rFonts w:ascii="Times New Roman" w:hAnsi="Times New Roman" w:eastAsia="宋体" w:cs="Times New Roman"/>
      <w:sz w:val="24"/>
      <w:szCs w:val="24"/>
    </w:rPr>
  </w:style>
  <w:style w:type="character" w:customStyle="1" w:styleId="41">
    <w:name w:val="批注框文本 Char"/>
    <w:basedOn w:val="24"/>
    <w:link w:val="15"/>
    <w:semiHidden/>
    <w:qFormat/>
    <w:uiPriority w:val="99"/>
    <w:rPr>
      <w:rFonts w:ascii="Tahoma" w:hAnsi="Tahoma"/>
      <w:sz w:val="18"/>
      <w:szCs w:val="18"/>
    </w:rPr>
  </w:style>
  <w:style w:type="paragraph" w:customStyle="1" w:styleId="42">
    <w:name w:val="表格式"/>
    <w:basedOn w:val="1"/>
    <w:link w:val="53"/>
    <w:qFormat/>
    <w:uiPriority w:val="0"/>
    <w:pPr>
      <w:spacing w:after="0"/>
      <w:jc w:val="center"/>
    </w:pPr>
    <w:rPr>
      <w:rFonts w:ascii="Times New Roman" w:hAnsi="Times New Roman" w:eastAsia="宋体" w:cs="黑体"/>
      <w:sz w:val="21"/>
      <w:szCs w:val="21"/>
    </w:rPr>
  </w:style>
  <w:style w:type="paragraph" w:customStyle="1" w:styleId="43">
    <w:name w:val="Char4 Char Char Char"/>
    <w:basedOn w:val="1"/>
    <w:qFormat/>
    <w:uiPriority w:val="0"/>
    <w:pPr>
      <w:widowControl w:val="0"/>
      <w:spacing w:after="0" w:line="360" w:lineRule="auto"/>
      <w:ind w:firstLine="200" w:firstLineChars="200"/>
      <w:jc w:val="both"/>
    </w:pPr>
    <w:rPr>
      <w:rFonts w:ascii="Times New Roman" w:hAnsi="Times New Roman" w:eastAsia="宋体" w:cs="Times New Roman"/>
      <w:kern w:val="2"/>
      <w:sz w:val="26"/>
      <w:szCs w:val="20"/>
    </w:rPr>
  </w:style>
  <w:style w:type="character" w:customStyle="1" w:styleId="44">
    <w:name w:val="纯文本 Char"/>
    <w:qFormat/>
    <w:uiPriority w:val="0"/>
    <w:rPr>
      <w:rFonts w:ascii="宋体" w:hAnsi="Courier New" w:eastAsia="宋体"/>
      <w:kern w:val="2"/>
      <w:sz w:val="21"/>
    </w:rPr>
  </w:style>
  <w:style w:type="character" w:customStyle="1" w:styleId="45">
    <w:name w:val="纯文本 Char1"/>
    <w:basedOn w:val="24"/>
    <w:link w:val="13"/>
    <w:qFormat/>
    <w:uiPriority w:val="0"/>
    <w:rPr>
      <w:rFonts w:ascii="宋体" w:hAnsi="Courier New" w:eastAsia="宋体" w:cs="Courier New"/>
      <w:sz w:val="21"/>
      <w:szCs w:val="21"/>
    </w:rPr>
  </w:style>
  <w:style w:type="character" w:customStyle="1" w:styleId="46">
    <w:name w:val="批注文字 Char"/>
    <w:basedOn w:val="24"/>
    <w:link w:val="12"/>
    <w:qFormat/>
    <w:uiPriority w:val="99"/>
    <w:rPr>
      <w:rFonts w:ascii="Times New Roman" w:hAnsi="Times New Roman" w:eastAsia="宋体" w:cs="Times New Roman"/>
      <w:kern w:val="2"/>
      <w:sz w:val="21"/>
      <w:szCs w:val="24"/>
    </w:rPr>
  </w:style>
  <w:style w:type="character" w:customStyle="1" w:styleId="47">
    <w:name w:val="表格内文字 Char"/>
    <w:basedOn w:val="24"/>
    <w:link w:val="48"/>
    <w:qFormat/>
    <w:uiPriority w:val="0"/>
    <w:rPr>
      <w:rFonts w:ascii="宋体" w:hAnsi="宋体" w:eastAsia="仿宋_GB2312"/>
      <w:b/>
      <w:kern w:val="2"/>
      <w:sz w:val="24"/>
      <w:szCs w:val="24"/>
    </w:rPr>
  </w:style>
  <w:style w:type="paragraph" w:customStyle="1" w:styleId="48">
    <w:name w:val="表格内文字"/>
    <w:basedOn w:val="1"/>
    <w:link w:val="47"/>
    <w:qFormat/>
    <w:uiPriority w:val="0"/>
    <w:pPr>
      <w:widowControl w:val="0"/>
      <w:tabs>
        <w:tab w:val="left" w:pos="0"/>
      </w:tabs>
      <w:spacing w:after="0"/>
      <w:jc w:val="center"/>
    </w:pPr>
    <w:rPr>
      <w:rFonts w:ascii="宋体" w:hAnsi="宋体" w:eastAsia="仿宋_GB2312"/>
      <w:b/>
      <w:kern w:val="2"/>
      <w:sz w:val="24"/>
      <w:szCs w:val="24"/>
    </w:rPr>
  </w:style>
  <w:style w:type="character" w:customStyle="1" w:styleId="49">
    <w:name w:val="正文文本缩进 Char"/>
    <w:basedOn w:val="24"/>
    <w:link w:val="3"/>
    <w:qFormat/>
    <w:uiPriority w:val="99"/>
    <w:rPr>
      <w:rFonts w:ascii="Tahoma" w:hAnsi="Tahoma"/>
    </w:rPr>
  </w:style>
  <w:style w:type="character" w:customStyle="1" w:styleId="50">
    <w:name w:val="正文首行缩进 2 Char"/>
    <w:basedOn w:val="49"/>
    <w:link w:val="2"/>
    <w:qFormat/>
    <w:uiPriority w:val="0"/>
    <w:rPr>
      <w:rFonts w:ascii="Times New Roman" w:hAnsi="Times New Roman" w:eastAsia="宋体" w:cs="Times New Roman"/>
      <w:kern w:val="2"/>
      <w:sz w:val="21"/>
      <w:szCs w:val="20"/>
    </w:rPr>
  </w:style>
  <w:style w:type="character" w:customStyle="1" w:styleId="51">
    <w:name w:val="font11"/>
    <w:basedOn w:val="24"/>
    <w:qFormat/>
    <w:uiPriority w:val="0"/>
    <w:rPr>
      <w:rFonts w:hint="default" w:ascii="Times New Roman" w:hAnsi="Times New Roman" w:cs="Times New Roman"/>
      <w:color w:val="000000"/>
      <w:sz w:val="21"/>
      <w:szCs w:val="21"/>
      <w:u w:val="none"/>
      <w:vertAlign w:val="subscript"/>
    </w:rPr>
  </w:style>
  <w:style w:type="character" w:customStyle="1" w:styleId="52">
    <w:name w:val="font21"/>
    <w:basedOn w:val="24"/>
    <w:qFormat/>
    <w:uiPriority w:val="0"/>
    <w:rPr>
      <w:rFonts w:hint="default" w:ascii="Times New Roman" w:hAnsi="Times New Roman" w:cs="Times New Roman"/>
      <w:color w:val="000000"/>
      <w:sz w:val="21"/>
      <w:szCs w:val="21"/>
      <w:u w:val="none"/>
    </w:rPr>
  </w:style>
  <w:style w:type="character" w:customStyle="1" w:styleId="53">
    <w:name w:val="表格式 Char"/>
    <w:link w:val="42"/>
    <w:qFormat/>
    <w:uiPriority w:val="0"/>
    <w:rPr>
      <w:rFonts w:ascii="Times New Roman" w:hAnsi="Times New Roman" w:eastAsia="宋体" w:cs="黑体"/>
      <w:sz w:val="21"/>
      <w:szCs w:val="21"/>
    </w:rPr>
  </w:style>
  <w:style w:type="character" w:customStyle="1" w:styleId="54">
    <w:name w:val="正文缩进 Char"/>
    <w:link w:val="11"/>
    <w:qFormat/>
    <w:uiPriority w:val="0"/>
    <w:rPr>
      <w:rFonts w:eastAsia="宋体"/>
      <w:color w:val="000000"/>
      <w:kern w:val="2"/>
      <w:sz w:val="21"/>
      <w:szCs w:val="24"/>
    </w:rPr>
  </w:style>
  <w:style w:type="paragraph" w:customStyle="1" w:styleId="55">
    <w:name w:val="表内容"/>
    <w:basedOn w:val="1"/>
    <w:qFormat/>
    <w:uiPriority w:val="0"/>
    <w:pPr>
      <w:widowControl w:val="0"/>
      <w:spacing w:after="0"/>
      <w:jc w:val="center"/>
    </w:pPr>
    <w:rPr>
      <w:rFonts w:ascii="宋体" w:hAnsi="Times New Roman" w:eastAsia="宋体" w:cs="Times New Roman"/>
      <w:snapToGrid w:val="0"/>
      <w:color w:val="000000"/>
      <w:sz w:val="24"/>
      <w:szCs w:val="21"/>
    </w:rPr>
  </w:style>
  <w:style w:type="paragraph" w:customStyle="1" w:styleId="56">
    <w:name w:val="修订2"/>
    <w:unhideWhenUsed/>
    <w:qFormat/>
    <w:uiPriority w:val="99"/>
    <w:rPr>
      <w:rFonts w:ascii="宋体" w:hAnsi="Times New Roman" w:eastAsia="宋体" w:cs="Times New Roman"/>
      <w:color w:val="000000"/>
      <w:sz w:val="24"/>
      <w:lang w:val="en-US" w:eastAsia="zh-CN" w:bidi="ar-SA"/>
    </w:rPr>
  </w:style>
  <w:style w:type="paragraph" w:customStyle="1" w:styleId="57">
    <w:name w:val="Char"/>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58">
    <w:name w:val="Char1"/>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59">
    <w:name w:val="Char2"/>
    <w:basedOn w:val="1"/>
    <w:qFormat/>
    <w:uiPriority w:val="0"/>
    <w:pPr>
      <w:widowControl w:val="0"/>
      <w:adjustRightInd/>
      <w:snapToGrid/>
      <w:spacing w:after="0"/>
      <w:jc w:val="both"/>
    </w:pPr>
    <w:rPr>
      <w:rFonts w:ascii="Times New Roman" w:hAnsi="Times New Roman" w:eastAsia="宋体" w:cs="Times New Roman"/>
      <w:kern w:val="2"/>
      <w:sz w:val="24"/>
      <w:szCs w:val="24"/>
    </w:rPr>
  </w:style>
  <w:style w:type="paragraph" w:customStyle="1" w:styleId="60">
    <w:name w:val="Default"/>
    <w:unhideWhenUsed/>
    <w:qFormat/>
    <w:uiPriority w:val="99"/>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character" w:customStyle="1" w:styleId="61">
    <w:name w:val="正文文本 Char"/>
    <w:basedOn w:val="24"/>
    <w:link w:val="6"/>
    <w:semiHidden/>
    <w:qFormat/>
    <w:uiPriority w:val="99"/>
    <w:rPr>
      <w:rFonts w:ascii="Tahoma" w:hAnsi="Tahoma" w:eastAsia="微软雅黑"/>
      <w:sz w:val="22"/>
      <w:szCs w:val="22"/>
    </w:rPr>
  </w:style>
  <w:style w:type="paragraph" w:customStyle="1" w:styleId="62">
    <w:name w:val="4"/>
    <w:basedOn w:val="1"/>
    <w:next w:val="3"/>
    <w:qFormat/>
    <w:uiPriority w:val="0"/>
    <w:pPr>
      <w:widowControl w:val="0"/>
      <w:adjustRightInd/>
      <w:snapToGrid/>
      <w:spacing w:after="120"/>
      <w:ind w:left="420" w:leftChars="200"/>
      <w:jc w:val="both"/>
    </w:pPr>
    <w:rPr>
      <w:rFonts w:ascii="Times New Roman" w:hAnsi="Times New Roman" w:eastAsia="宋体" w:cs="Times New Roman"/>
      <w:kern w:val="2"/>
      <w:sz w:val="21"/>
      <w:szCs w:val="24"/>
    </w:rPr>
  </w:style>
  <w:style w:type="paragraph" w:customStyle="1" w:styleId="63">
    <w:name w:val="正文x"/>
    <w:basedOn w:val="1"/>
    <w:qFormat/>
    <w:uiPriority w:val="0"/>
    <w:pPr>
      <w:widowControl w:val="0"/>
      <w:adjustRightInd/>
      <w:snapToGrid/>
      <w:spacing w:after="0" w:line="360" w:lineRule="auto"/>
      <w:ind w:firstLine="200" w:firstLineChars="200"/>
      <w:jc w:val="both"/>
    </w:pPr>
    <w:rPr>
      <w:rFonts w:ascii="Times New Roman" w:hAnsi="Times New Roman" w:eastAsia="宋体" w:cs="Times New Roman"/>
      <w:kern w:val="24"/>
      <w:sz w:val="24"/>
      <w:szCs w:val="24"/>
      <w:lang w:bidi="he-IL"/>
    </w:rPr>
  </w:style>
  <w:style w:type="character" w:customStyle="1" w:styleId="64">
    <w:name w:val="正文文本 (2)_"/>
    <w:basedOn w:val="24"/>
    <w:link w:val="65"/>
    <w:qFormat/>
    <w:uiPriority w:val="0"/>
    <w:rPr>
      <w:rFonts w:ascii="MingLiU" w:hAnsi="MingLiU" w:eastAsia="MingLiU" w:cs="MingLiU"/>
      <w:spacing w:val="20"/>
      <w:sz w:val="26"/>
      <w:szCs w:val="26"/>
      <w:shd w:val="clear" w:color="auto" w:fill="FFFFFF"/>
    </w:rPr>
  </w:style>
  <w:style w:type="paragraph" w:customStyle="1" w:styleId="65">
    <w:name w:val="正文文本 (2)"/>
    <w:basedOn w:val="1"/>
    <w:link w:val="64"/>
    <w:qFormat/>
    <w:uiPriority w:val="0"/>
    <w:pPr>
      <w:widowControl w:val="0"/>
      <w:shd w:val="clear" w:color="auto" w:fill="FFFFFF"/>
      <w:adjustRightInd/>
      <w:snapToGrid/>
      <w:spacing w:after="0" w:line="540" w:lineRule="exact"/>
      <w:jc w:val="distribute"/>
    </w:pPr>
    <w:rPr>
      <w:rFonts w:ascii="MingLiU" w:hAnsi="MingLiU" w:eastAsia="MingLiU" w:cs="MingLiU"/>
      <w:spacing w:val="20"/>
      <w:sz w:val="26"/>
      <w:szCs w:val="26"/>
    </w:rPr>
  </w:style>
  <w:style w:type="character" w:customStyle="1" w:styleId="66">
    <w:name w:val="正文文本 (2) + 间距 0 pt"/>
    <w:basedOn w:val="64"/>
    <w:qFormat/>
    <w:uiPriority w:val="0"/>
    <w:rPr>
      <w:rFonts w:ascii="MingLiU" w:hAnsi="MingLiU" w:eastAsia="MingLiU" w:cs="MingLiU"/>
      <w:b/>
      <w:bCs/>
      <w:color w:val="000000"/>
      <w:spacing w:val="0"/>
      <w:w w:val="100"/>
      <w:position w:val="0"/>
      <w:sz w:val="26"/>
      <w:szCs w:val="26"/>
      <w:shd w:val="clear" w:color="auto" w:fill="FFFFFF"/>
      <w:lang w:val="en-US" w:eastAsia="en-US" w:bidi="en-US"/>
    </w:rPr>
  </w:style>
  <w:style w:type="character" w:customStyle="1" w:styleId="67">
    <w:name w:val="正文文本 (4)_"/>
    <w:basedOn w:val="24"/>
    <w:link w:val="68"/>
    <w:qFormat/>
    <w:uiPriority w:val="0"/>
    <w:rPr>
      <w:rFonts w:ascii="Consolas" w:hAnsi="Consolas" w:eastAsia="Consolas" w:cs="Consolas"/>
      <w:i/>
      <w:iCs/>
      <w:sz w:val="11"/>
      <w:szCs w:val="11"/>
      <w:shd w:val="clear" w:color="auto" w:fill="FFFFFF"/>
    </w:rPr>
  </w:style>
  <w:style w:type="paragraph" w:customStyle="1" w:styleId="68">
    <w:name w:val="正文文本 (4)"/>
    <w:basedOn w:val="1"/>
    <w:link w:val="67"/>
    <w:qFormat/>
    <w:uiPriority w:val="0"/>
    <w:pPr>
      <w:widowControl w:val="0"/>
      <w:shd w:val="clear" w:color="auto" w:fill="FFFFFF"/>
      <w:adjustRightInd/>
      <w:snapToGrid/>
      <w:spacing w:after="180" w:line="0" w:lineRule="atLeast"/>
    </w:pPr>
    <w:rPr>
      <w:rFonts w:ascii="Consolas" w:hAnsi="Consolas" w:eastAsia="Consolas" w:cs="Consolas"/>
      <w:i/>
      <w:iCs/>
      <w:sz w:val="11"/>
      <w:szCs w:val="11"/>
    </w:rPr>
  </w:style>
  <w:style w:type="character" w:customStyle="1" w:styleId="69">
    <w:name w:val="正文文本 (2) + 间距 -1 pt"/>
    <w:basedOn w:val="64"/>
    <w:qFormat/>
    <w:uiPriority w:val="0"/>
    <w:rPr>
      <w:rFonts w:ascii="MingLiU" w:hAnsi="MingLiU" w:eastAsia="MingLiU" w:cs="MingLiU"/>
      <w:b/>
      <w:bCs/>
      <w:color w:val="000000"/>
      <w:spacing w:val="-20"/>
      <w:w w:val="100"/>
      <w:position w:val="0"/>
      <w:sz w:val="26"/>
      <w:szCs w:val="26"/>
      <w:u w:val="none"/>
      <w:shd w:val="clear" w:color="auto" w:fill="FFFFFF"/>
      <w:lang w:val="en-US" w:eastAsia="en-US" w:bidi="en-US"/>
    </w:rPr>
  </w:style>
  <w:style w:type="character" w:customStyle="1" w:styleId="70">
    <w:name w:val="正文文本 (2) + 间距 4 pt"/>
    <w:basedOn w:val="64"/>
    <w:qFormat/>
    <w:uiPriority w:val="0"/>
    <w:rPr>
      <w:rFonts w:ascii="MingLiU" w:hAnsi="MingLiU" w:eastAsia="MingLiU" w:cs="MingLiU"/>
      <w:color w:val="000000"/>
      <w:spacing w:val="90"/>
      <w:w w:val="100"/>
      <w:position w:val="0"/>
      <w:sz w:val="26"/>
      <w:szCs w:val="26"/>
      <w:u w:val="none"/>
      <w:shd w:val="clear" w:color="auto" w:fill="FFFFFF"/>
      <w:lang w:val="zh-TW" w:eastAsia="zh-TW" w:bidi="zh-TW"/>
    </w:rPr>
  </w:style>
  <w:style w:type="character" w:customStyle="1" w:styleId="71">
    <w:name w:val="font01"/>
    <w:basedOn w:val="24"/>
    <w:qFormat/>
    <w:uiPriority w:val="0"/>
    <w:rPr>
      <w:rFonts w:hint="eastAsia" w:ascii="宋体" w:hAnsi="宋体" w:eastAsia="宋体" w:cs="宋体"/>
      <w:color w:val="000000"/>
      <w:sz w:val="22"/>
      <w:szCs w:val="22"/>
      <w:u w:val="none"/>
    </w:rPr>
  </w:style>
  <w:style w:type="paragraph" w:customStyle="1" w:styleId="72">
    <w:name w:val="图、表头文字"/>
    <w:next w:val="1"/>
    <w:qFormat/>
    <w:uiPriority w:val="0"/>
    <w:pPr>
      <w:spacing w:line="360" w:lineRule="auto"/>
      <w:jc w:val="center"/>
    </w:pPr>
    <w:rPr>
      <w:rFonts w:ascii="Times New Roman" w:hAnsi="Times New Roman" w:eastAsia="黑体" w:cs="Times New Roman"/>
      <w:kern w:val="2"/>
      <w:sz w:val="24"/>
      <w:szCs w:val="32"/>
      <w:lang w:val="en-US" w:eastAsia="zh-CN" w:bidi="ar-SA"/>
    </w:rPr>
  </w:style>
  <w:style w:type="paragraph" w:customStyle="1" w:styleId="73">
    <w:name w:val="表格文字"/>
    <w:basedOn w:val="11"/>
    <w:next w:val="1"/>
    <w:qFormat/>
    <w:uiPriority w:val="0"/>
    <w:pPr>
      <w:snapToGrid w:val="0"/>
      <w:ind w:firstLine="0" w:firstLineChars="0"/>
      <w:jc w:val="center"/>
    </w:pPr>
    <w:rPr>
      <w:szCs w:val="20"/>
    </w:rPr>
  </w:style>
  <w:style w:type="paragraph" w:customStyle="1" w:styleId="74">
    <w:name w:val="Date"/>
    <w:basedOn w:val="1"/>
    <w:next w:val="1"/>
    <w:qFormat/>
    <w:uiPriority w:val="0"/>
    <w:pPr>
      <w:autoSpaceDE w:val="0"/>
      <w:autoSpaceDN w:val="0"/>
      <w:adjustRightInd w:val="0"/>
      <w:textAlignment w:val="baseline"/>
    </w:pPr>
    <w:rPr>
      <w:rFonts w:ascii="Times New Roman" w:hAnsi="Times New Roman"/>
      <w:sz w:val="24"/>
    </w:rPr>
  </w:style>
  <w:style w:type="paragraph" w:customStyle="1" w:styleId="75">
    <w:name w:val="陈光的正文"/>
    <w:basedOn w:val="1"/>
    <w:qFormat/>
    <w:uiPriority w:val="0"/>
    <w:pPr>
      <w:adjustRightInd w:val="0"/>
      <w:snapToGrid w:val="0"/>
      <w:spacing w:before="31" w:beforeLines="10" w:after="31" w:afterLines="10" w:line="360" w:lineRule="auto"/>
      <w:ind w:firstLine="560" w:firstLineChars="200"/>
    </w:pPr>
    <w:rPr>
      <w:rFonts w:ascii="Times New Roman" w:hAnsi="Times New Roman"/>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107"/>
    <customShpInfo spid="_x0000_s2108"/>
    <customShpInfo spid="_x0000_s2106"/>
    <customShpInfo spid="_x0000_s2085"/>
    <customShpInfo spid="_x0000_s2086"/>
    <customShpInfo spid="_x0000_s2088"/>
    <customShpInfo spid="_x0000_s2087"/>
    <customShpInfo spid="_x0000_s2089"/>
    <customShpInfo spid="_x0000_s2084"/>
    <customShpInfo spid="_x0000_s2090"/>
    <customShpInfo spid="_x0000_s2091"/>
    <customShpInfo spid="_x0000_s2098"/>
    <customShpInfo spid="_x0000_s2093"/>
    <customShpInfo spid="_x0000_s2094"/>
    <customShpInfo spid="_x0000_s2092"/>
    <customShpInfo spid="_x0000_s2100"/>
    <customShpInfo spid="_x0000_s2101"/>
    <customShpInfo spid="_x0000_s2099"/>
    <customShpInfo spid="_x0000_s2096"/>
    <customShpInfo spid="_x0000_s2097"/>
    <customShpInfo spid="_x0000_s2095"/>
    <customShpInfo spid="_x0000_s2102"/>
    <customShpInfo spid="_x0000_s2103"/>
    <customShpInfo spid="_x0000_s2105"/>
    <customShpInfo spid="_x0000_s210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25CF44-1191-47EB-9C3F-14543CCD47ED}">
  <ds:schemaRefs/>
</ds:datastoreItem>
</file>

<file path=docProps/app.xml><?xml version="1.0" encoding="utf-8"?>
<Properties xmlns="http://schemas.openxmlformats.org/officeDocument/2006/extended-properties" xmlns:vt="http://schemas.openxmlformats.org/officeDocument/2006/docPropsVTypes">
  <Template>Normal</Template>
  <Pages>27</Pages>
  <Words>7506</Words>
  <Characters>8723</Characters>
  <Lines>108</Lines>
  <Paragraphs>30</Paragraphs>
  <TotalTime>3</TotalTime>
  <ScaleCrop>false</ScaleCrop>
  <LinksUpToDate>false</LinksUpToDate>
  <CharactersWithSpaces>8862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2018-11-13T15:12:00Z</dcterms:created>
  <dc:creator>win7-x86-6</dc:creator>
  <cp:lastModifiedBy>游泳的鱼</cp:lastModifiedBy>
  <dcterms:modified xsi:type="dcterms:W3CDTF">2022-08-26T06:27:55Z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7CCA62292BD644F69F8A8EAA1F9CC6E6</vt:lpwstr>
  </property>
</Properties>
</file>